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snapToGrid w:val="0"/>
        <w:rPr>
          <w:rFonts w:ascii="Times New Roman" w:hAnsi="Times New Roman" w:eastAsia="宋体"/>
          <w:sz w:val="22"/>
          <w:szCs w:val="22"/>
          <w:lang w:eastAsia="zh-CN"/>
        </w:rPr>
      </w:pPr>
      <w:bookmarkStart w:id="0" w:name="_Hlk118639744"/>
      <w:bookmarkEnd w:id="0"/>
      <w:r>
        <w:rPr>
          <w:rFonts w:ascii="Times New Roman" w:hAnsi="Times New Roman"/>
          <w:sz w:val="22"/>
          <w:szCs w:val="22"/>
        </w:rPr>
        <w:t>3GPP TSG RAN WG1 Meeting #1</w:t>
      </w:r>
      <w:r>
        <w:rPr>
          <w:rFonts w:ascii="Times New Roman" w:hAnsi="Times New Roman" w:eastAsia="宋体"/>
          <w:sz w:val="22"/>
          <w:szCs w:val="22"/>
          <w:lang w:eastAsia="zh-CN"/>
        </w:rPr>
        <w:t>1</w:t>
      </w:r>
      <w:r>
        <w:rPr>
          <w:rFonts w:hint="eastAsia" w:ascii="Times New Roman" w:hAnsi="Times New Roman" w:eastAsia="宋体"/>
          <w:sz w:val="22"/>
          <w:szCs w:val="22"/>
          <w:lang w:eastAsia="zh-CN"/>
        </w:rPr>
        <w:t>6</w:t>
      </w:r>
      <w:r>
        <w:rPr>
          <w:rFonts w:ascii="Times New Roman" w:hAnsi="Times New Roman" w:eastAsia="宋体"/>
          <w:sz w:val="22"/>
          <w:szCs w:val="22"/>
          <w:lang w:eastAsia="zh-CN"/>
        </w:rPr>
        <w:tab/>
      </w:r>
      <w:r>
        <w:rPr>
          <w:rFonts w:ascii="Times New Roman" w:hAnsi="Times New Roman"/>
          <w:sz w:val="22"/>
          <w:szCs w:val="22"/>
          <w:lang w:eastAsia="ja-JP"/>
        </w:rPr>
        <w:t>R1-</w:t>
      </w:r>
      <w:r>
        <w:rPr>
          <w:rFonts w:ascii="Times New Roman" w:hAnsi="Times New Roman" w:eastAsia="宋体"/>
          <w:sz w:val="22"/>
          <w:szCs w:val="22"/>
          <w:lang w:eastAsia="zh-CN"/>
        </w:rPr>
        <w:t>2</w:t>
      </w:r>
      <w:r>
        <w:rPr>
          <w:rFonts w:hint="eastAsia" w:ascii="Times New Roman" w:hAnsi="Times New Roman" w:eastAsia="宋体"/>
          <w:sz w:val="22"/>
          <w:szCs w:val="22"/>
          <w:lang w:eastAsia="zh-CN"/>
        </w:rPr>
        <w:t>4</w:t>
      </w:r>
      <w:r>
        <w:rPr>
          <w:rFonts w:ascii="Times New Roman" w:hAnsi="Times New Roman" w:eastAsia="宋体"/>
          <w:sz w:val="22"/>
          <w:szCs w:val="22"/>
          <w:lang w:eastAsia="zh-CN"/>
        </w:rPr>
        <w:t>0</w:t>
      </w:r>
      <w:r>
        <w:rPr>
          <w:rFonts w:hint="eastAsia" w:ascii="Times New Roman" w:hAnsi="Times New Roman" w:eastAsia="宋体"/>
          <w:sz w:val="22"/>
          <w:szCs w:val="22"/>
          <w:lang w:eastAsia="zh-CN"/>
        </w:rPr>
        <w:t>0279</w:t>
      </w:r>
    </w:p>
    <w:p>
      <w:pPr>
        <w:snapToGrid w:val="0"/>
        <w:spacing w:line="240" w:lineRule="auto"/>
        <w:rPr>
          <w:b/>
          <w:sz w:val="22"/>
        </w:rPr>
      </w:pPr>
      <w:r>
        <w:rPr>
          <w:rFonts w:hint="eastAsia"/>
          <w:b/>
          <w:sz w:val="22"/>
        </w:rPr>
        <w:t>Athens</w:t>
      </w:r>
      <w:r>
        <w:rPr>
          <w:b/>
          <w:sz w:val="22"/>
        </w:rPr>
        <w:t xml:space="preserve">, </w:t>
      </w:r>
      <w:r>
        <w:rPr>
          <w:rFonts w:hint="eastAsia"/>
          <w:b/>
          <w:sz w:val="22"/>
        </w:rPr>
        <w:t>Greece</w:t>
      </w:r>
      <w:r>
        <w:rPr>
          <w:b/>
          <w:sz w:val="22"/>
        </w:rPr>
        <w:t>,</w:t>
      </w:r>
      <w:r>
        <w:rPr>
          <w:b/>
          <w:sz w:val="22"/>
          <w:lang w:eastAsia="ja-JP"/>
        </w:rPr>
        <w:t xml:space="preserve"> </w:t>
      </w:r>
      <w:r>
        <w:rPr>
          <w:rFonts w:hint="eastAsia"/>
          <w:b/>
          <w:sz w:val="22"/>
        </w:rPr>
        <w:t>February</w:t>
      </w:r>
      <w:r>
        <w:rPr>
          <w:b/>
          <w:sz w:val="22"/>
        </w:rPr>
        <w:t xml:space="preserve"> </w:t>
      </w:r>
      <w:r>
        <w:rPr>
          <w:rFonts w:hint="eastAsia"/>
          <w:b/>
          <w:sz w:val="22"/>
        </w:rPr>
        <w:t>26</w:t>
      </w:r>
      <w:r>
        <w:rPr>
          <w:rFonts w:hint="eastAsia"/>
          <w:b/>
          <w:sz w:val="22"/>
          <w:vertAlign w:val="superscript"/>
        </w:rPr>
        <w:t>th</w:t>
      </w:r>
      <w:r>
        <w:rPr>
          <w:rFonts w:eastAsia="MS Mincho"/>
          <w:b/>
          <w:sz w:val="22"/>
          <w:lang w:eastAsia="ja-JP"/>
        </w:rPr>
        <w:t xml:space="preserve"> –</w:t>
      </w:r>
      <w:r>
        <w:rPr>
          <w:rFonts w:eastAsia="MS Mincho"/>
          <w:b/>
          <w:sz w:val="22"/>
          <w:lang w:eastAsia="en-US"/>
        </w:rPr>
        <w:t xml:space="preserve"> </w:t>
      </w:r>
      <w:r>
        <w:rPr>
          <w:rFonts w:hint="eastAsia"/>
          <w:b/>
          <w:sz w:val="22"/>
        </w:rPr>
        <w:t>March</w:t>
      </w:r>
      <w:r>
        <w:rPr>
          <w:b/>
          <w:sz w:val="22"/>
        </w:rPr>
        <w:t xml:space="preserve"> </w:t>
      </w:r>
      <w:r>
        <w:rPr>
          <w:rFonts w:hint="eastAsia"/>
          <w:b/>
          <w:sz w:val="22"/>
        </w:rPr>
        <w:t>1</w:t>
      </w:r>
      <w:r>
        <w:rPr>
          <w:rFonts w:hint="eastAsia"/>
          <w:b/>
          <w:sz w:val="22"/>
          <w:vertAlign w:val="superscript"/>
        </w:rPr>
        <w:t>st</w:t>
      </w:r>
      <w:r>
        <w:rPr>
          <w:rFonts w:eastAsia="MS Mincho"/>
          <w:b/>
          <w:sz w:val="22"/>
          <w:lang w:eastAsia="ja-JP"/>
        </w:rPr>
        <w:t>, 20</w:t>
      </w:r>
      <w:r>
        <w:rPr>
          <w:b/>
          <w:sz w:val="22"/>
        </w:rPr>
        <w:t>2</w:t>
      </w:r>
      <w:r>
        <w:rPr>
          <w:rFonts w:hint="eastAsia"/>
          <w:b/>
          <w:sz w:val="22"/>
        </w:rPr>
        <w:t>4</w:t>
      </w:r>
    </w:p>
    <w:p>
      <w:pPr>
        <w:pStyle w:val="19"/>
        <w:tabs>
          <w:tab w:val="left" w:pos="1805"/>
          <w:tab w:val="clear" w:pos="4536"/>
        </w:tabs>
        <w:snapToGrid w:val="0"/>
        <w:spacing w:before="12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19"/>
        <w:tabs>
          <w:tab w:val="left" w:pos="1800"/>
        </w:tabs>
        <w:snapToGrid w:val="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sz w:val="22"/>
          <w:szCs w:val="22"/>
        </w:rPr>
        <w:t>Discussion on CSI enhancements</w:t>
      </w:r>
    </w:p>
    <w:p>
      <w:pPr>
        <w:pStyle w:val="19"/>
        <w:tabs>
          <w:tab w:val="left" w:pos="1800"/>
        </w:tabs>
        <w:snapToGrid w:val="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ascii="Times New Roman" w:hAnsi="Times New Roman"/>
          <w:sz w:val="22"/>
          <w:szCs w:val="22"/>
          <w:lang w:eastAsia="zh-CN"/>
        </w:rPr>
        <w:t>9.</w:t>
      </w:r>
      <w:r>
        <w:rPr>
          <w:rFonts w:hint="eastAsia" w:ascii="Times New Roman" w:hAnsi="Times New Roman"/>
          <w:sz w:val="22"/>
          <w:szCs w:val="22"/>
          <w:lang w:eastAsia="zh-CN"/>
        </w:rPr>
        <w:t>2</w:t>
      </w:r>
      <w:r>
        <w:rPr>
          <w:rFonts w:ascii="Times New Roman" w:hAnsi="Times New Roman"/>
          <w:sz w:val="22"/>
          <w:szCs w:val="22"/>
          <w:lang w:eastAsia="zh-CN"/>
        </w:rPr>
        <w:t>.2</w:t>
      </w:r>
    </w:p>
    <w:p>
      <w:pPr>
        <w:pBdr>
          <w:bottom w:val="single" w:color="auto" w:sz="6" w:space="1"/>
        </w:pBdr>
        <w:snapToGrid w:val="0"/>
        <w:spacing w:after="24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numPr>
          <w:ilvl w:val="0"/>
          <w:numId w:val="8"/>
        </w:numPr>
        <w:tabs>
          <w:tab w:val="clear" w:pos="432"/>
        </w:tabs>
        <w:snapToGrid w:val="0"/>
        <w:spacing w:before="240" w:after="120" w:afterLines="50" w:line="240" w:lineRule="auto"/>
        <w:ind w:left="425" w:hanging="425"/>
        <w:outlineLvl w:val="0"/>
        <w:rPr>
          <w:b/>
          <w:sz w:val="28"/>
          <w:szCs w:val="28"/>
        </w:rPr>
      </w:pPr>
      <w:r>
        <w:rPr>
          <w:b/>
          <w:sz w:val="28"/>
          <w:szCs w:val="28"/>
        </w:rPr>
        <w:t>Introduction</w:t>
      </w:r>
    </w:p>
    <w:p>
      <w:r>
        <w:rPr>
          <w:lang w:val="en-GB"/>
        </w:rPr>
        <w:t>In RAN#</w:t>
      </w:r>
      <w:r>
        <w:rPr>
          <w:rFonts w:hint="eastAsia"/>
        </w:rPr>
        <w:t>102</w:t>
      </w:r>
      <w:r>
        <w:rPr>
          <w:lang w:val="en-GB"/>
        </w:rPr>
        <w:t xml:space="preserve">, </w:t>
      </w:r>
      <w:r>
        <w:t>a new WID for MIMO evolution for downlink and uplink was approved for Rel-1</w:t>
      </w:r>
      <w:r>
        <w:rPr>
          <w:rFonts w:hint="eastAsia"/>
        </w:rPr>
        <w:t>9</w:t>
      </w:r>
      <w:r>
        <w:t xml:space="preserve"> [1]. </w:t>
      </w:r>
      <w:r>
        <w:rPr>
          <w:lang w:val="en-GB"/>
        </w:rPr>
        <w:t>Among items</w:t>
      </w:r>
      <w:r>
        <w:t xml:space="preserve"> in this WID, two aspects corresponding to CSI enhancement(s) are captured, i.e., </w:t>
      </w:r>
      <w:r>
        <w:rPr>
          <w:lang w:eastAsia="en-US"/>
        </w:rPr>
        <w:t>Type-I</w:t>
      </w:r>
      <w:r>
        <w:rPr>
          <w:rFonts w:hint="eastAsia"/>
        </w:rPr>
        <w:t>/Type-II</w:t>
      </w:r>
      <w:r>
        <w:rPr>
          <w:lang w:eastAsia="en-US"/>
        </w:rPr>
        <w:t xml:space="preserve"> codebook refinement supporting up to 128 CSI-RS ports</w:t>
      </w:r>
      <w:r>
        <w:rPr>
          <w:rFonts w:hint="eastAsia"/>
        </w:rPr>
        <w:t>,</w:t>
      </w:r>
      <w:r>
        <w:t xml:space="preserve"> hybrid CSI enhancement and </w:t>
      </w:r>
      <w:r>
        <w:rPr>
          <w:lang w:eastAsia="en-US"/>
        </w:rPr>
        <w:t xml:space="preserve">UE reporting enhancement for CJT </w:t>
      </w:r>
      <w:r>
        <w:rPr>
          <w:rFonts w:hint="eastAsia"/>
        </w:rPr>
        <w:t>calibration in</w:t>
      </w:r>
      <w:r>
        <w:rPr>
          <w:lang w:eastAsia="en-US"/>
        </w:rPr>
        <w:t xml:space="preserve"> non-ideal synchronization and backhaul</w:t>
      </w:r>
      <w:r>
        <w:rPr>
          <w:rFonts w:hint="eastAsia"/>
        </w:rPr>
        <w:t xml:space="preserve"> scenario</w:t>
      </w:r>
      <w:r>
        <w:t>. In this contribution, we elaborate our views on above two aspects, respectively.</w:t>
      </w:r>
    </w:p>
    <w:p>
      <w:pPr>
        <w:keepNext/>
        <w:widowControl w:val="0"/>
        <w:numPr>
          <w:ilvl w:val="0"/>
          <w:numId w:val="8"/>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CSI enhancement for up to 128 CSI-RS ports on FR1</w:t>
      </w:r>
    </w:p>
    <w:p>
      <w:pPr>
        <w:rPr>
          <w:lang w:val="en-GB"/>
        </w:rPr>
      </w:pPr>
      <w:r>
        <w:rPr>
          <w:rFonts w:hint="eastAsia"/>
        </w:rPr>
        <w:t>As the</w:t>
      </w:r>
      <w:r>
        <w:rPr>
          <w:rFonts w:hint="eastAsia"/>
          <w:lang w:val="en-GB"/>
        </w:rPr>
        <w:t xml:space="preserve"> MIMO</w:t>
      </w:r>
      <w:r>
        <w:rPr>
          <w:rFonts w:hint="eastAsia"/>
        </w:rPr>
        <w:t xml:space="preserve"> technology</w:t>
      </w:r>
      <w:r>
        <w:rPr>
          <w:rFonts w:hint="eastAsia"/>
          <w:lang w:val="en-GB"/>
        </w:rPr>
        <w:t xml:space="preserve"> </w:t>
      </w:r>
      <w:r>
        <w:rPr>
          <w:rFonts w:hint="eastAsia"/>
        </w:rPr>
        <w:t>develops</w:t>
      </w:r>
      <w:r>
        <w:rPr>
          <w:rFonts w:hint="eastAsia"/>
          <w:lang w:val="en-GB"/>
        </w:rPr>
        <w:t xml:space="preserve"> from LTE to NR (then to NR-Advanced), </w:t>
      </w:r>
      <w:r>
        <w:rPr>
          <w:rFonts w:hint="eastAsia"/>
        </w:rPr>
        <w:t>the number of antenna ports has been continuously increased to achieve better coverage and higher spectrum efficiency. A</w:t>
      </w:r>
      <w:r>
        <w:rPr>
          <w:lang w:val="en-GB"/>
        </w:rPr>
        <w:t>mong items</w:t>
      </w:r>
      <w:r>
        <w:t xml:space="preserve"> in </w:t>
      </w:r>
      <w:r>
        <w:rPr>
          <w:rFonts w:hint="eastAsia"/>
        </w:rPr>
        <w:t>the</w:t>
      </w:r>
      <w:r>
        <w:t xml:space="preserve"> WID for DL</w:t>
      </w:r>
      <w:r>
        <w:rPr>
          <w:rFonts w:hint="eastAsia"/>
        </w:rPr>
        <w:t>/UL</w:t>
      </w:r>
      <w:r>
        <w:t xml:space="preserve"> MIMO, </w:t>
      </w:r>
      <w:r>
        <w:rPr>
          <w:lang w:val="en-GB"/>
        </w:rPr>
        <w:t xml:space="preserve">the aspects for </w:t>
      </w:r>
      <w:r>
        <w:rPr>
          <w:lang w:eastAsia="en-US"/>
        </w:rPr>
        <w:t xml:space="preserve">CSI </w:t>
      </w:r>
      <w:r>
        <w:t xml:space="preserve">enhancement </w:t>
      </w:r>
      <w:r>
        <w:rPr>
          <w:rFonts w:hint="eastAsia"/>
        </w:rPr>
        <w:t>supporting</w:t>
      </w:r>
      <w:r>
        <w:rPr>
          <w:lang w:eastAsia="en-US"/>
        </w:rPr>
        <w:t xml:space="preserve"> up to 128 CSI-RS ports, targeting FR1</w:t>
      </w:r>
      <w:r>
        <w:rPr>
          <w:rFonts w:hint="eastAsia"/>
        </w:rPr>
        <w:t>,</w:t>
      </w:r>
      <w:r>
        <w:rPr>
          <w:lang w:val="en-GB"/>
        </w:rPr>
        <w:t xml:space="preserve"> are listed </w:t>
      </w:r>
      <w:r>
        <w:t xml:space="preserve">as </w:t>
      </w:r>
      <w:r>
        <w:rPr>
          <w:lang w:val="en-GB"/>
        </w:rPr>
        <w:t>below.</w:t>
      </w: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9"/>
              </w:numPr>
              <w:snapToGrid w:val="0"/>
              <w:spacing w:after="0"/>
              <w:rPr>
                <w:rFonts w:eastAsia="Times New Roman"/>
                <w:szCs w:val="24"/>
                <w:lang w:eastAsia="en-US"/>
              </w:rPr>
            </w:pPr>
            <w:r>
              <w:rPr>
                <w:rFonts w:eastAsia="Times New Roman"/>
                <w:szCs w:val="24"/>
                <w:lang w:eastAsia="en-US"/>
              </w:rPr>
              <w:t>Specify CSI support for up to 128 CSI-RS ports, targeting FR1</w:t>
            </w:r>
          </w:p>
          <w:p>
            <w:pPr>
              <w:numPr>
                <w:ilvl w:val="1"/>
                <w:numId w:val="9"/>
              </w:numPr>
              <w:snapToGrid w:val="0"/>
              <w:spacing w:after="0"/>
              <w:rPr>
                <w:rFonts w:eastAsia="Times New Roman"/>
                <w:szCs w:val="24"/>
                <w:lang w:eastAsia="en-US"/>
              </w:rPr>
            </w:pPr>
            <w:r>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pPr>
              <w:numPr>
                <w:ilvl w:val="1"/>
                <w:numId w:val="9"/>
              </w:numPr>
              <w:snapToGrid w:val="0"/>
              <w:spacing w:after="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pPr>
              <w:numPr>
                <w:ilvl w:val="1"/>
                <w:numId w:val="9"/>
              </w:numPr>
              <w:snapToGrid w:val="0"/>
              <w:spacing w:after="0"/>
              <w:rPr>
                <w:szCs w:val="20"/>
              </w:rPr>
            </w:pPr>
            <w:r>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tc>
      </w:tr>
    </w:tbl>
    <w:p>
      <w:pPr>
        <w:numPr>
          <w:ilvl w:val="1"/>
          <w:numId w:val="8"/>
        </w:numPr>
        <w:tabs>
          <w:tab w:val="clear" w:pos="576"/>
        </w:tabs>
        <w:snapToGrid w:val="0"/>
        <w:spacing w:before="240" w:after="120" w:afterLines="50" w:line="240" w:lineRule="auto"/>
        <w:ind w:left="567" w:hanging="567"/>
        <w:outlineLvl w:val="1"/>
      </w:pPr>
      <w:r>
        <w:rPr>
          <w:rFonts w:hint="eastAsia"/>
          <w:b/>
          <w:sz w:val="24"/>
          <w:szCs w:val="20"/>
        </w:rPr>
        <w:t>G</w:t>
      </w:r>
      <w:r>
        <w:rPr>
          <w:b/>
          <w:sz w:val="24"/>
          <w:szCs w:val="20"/>
        </w:rPr>
        <w:t xml:space="preserve">eneral features </w:t>
      </w:r>
      <w:r>
        <w:rPr>
          <w:rFonts w:hint="eastAsia"/>
          <w:b/>
          <w:sz w:val="24"/>
          <w:szCs w:val="20"/>
        </w:rPr>
        <w:t>for</w:t>
      </w:r>
      <w:r>
        <w:rPr>
          <w:b/>
          <w:sz w:val="24"/>
          <w:szCs w:val="20"/>
        </w:rPr>
        <w:t xml:space="preserve"> enabling up-to-128-port CSI</w:t>
      </w:r>
    </w:p>
    <w:p>
      <w:pPr>
        <w:tabs>
          <w:tab w:val="left" w:pos="7938"/>
        </w:tabs>
        <w:snapToGrid w:val="0"/>
        <w:spacing w:before="240" w:after="120" w:afterLines="50" w:line="240" w:lineRule="auto"/>
        <w:outlineLvl w:val="2"/>
        <w:rPr>
          <w:bCs/>
          <w:kern w:val="2"/>
          <w:szCs w:val="20"/>
        </w:rPr>
      </w:pPr>
      <w:r>
        <w:rPr>
          <w:b/>
          <w:bCs/>
          <w:sz w:val="21"/>
          <w:szCs w:val="21"/>
        </w:rPr>
        <w:t xml:space="preserve">2.1.1 </w:t>
      </w:r>
      <w:r>
        <w:rPr>
          <w:rFonts w:hint="eastAsia"/>
          <w:b/>
          <w:bCs/>
          <w:sz w:val="21"/>
          <w:szCs w:val="21"/>
        </w:rPr>
        <w:t xml:space="preserve">Antenna ports configuration </w:t>
      </w:r>
    </w:p>
    <w:p>
      <w:r>
        <w:rPr>
          <w:rFonts w:hint="eastAsia"/>
        </w:rPr>
        <w:t>In current specification, the supported number of CSI-RS antenna ports is no larger than 32. Further, t</w:t>
      </w:r>
      <w:r>
        <w:rPr>
          <w:lang w:eastAsia="en-GB"/>
        </w:rPr>
        <w:t xml:space="preserve">he supported configurations of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lang w:eastAsia="en-GB"/>
        </w:rPr>
        <w:t xml:space="preserve"> </w:t>
      </w:r>
      <w:r>
        <w:rPr>
          <w:rFonts w:hint="eastAsia"/>
        </w:rPr>
        <w:t xml:space="preserve">are </w:t>
      </w:r>
      <w:r>
        <w:rPr>
          <w:lang w:eastAsia="en-GB"/>
        </w:rPr>
        <w:t xml:space="preserve">configured with the higher layer parameter </w:t>
      </w:r>
      <w:r>
        <w:rPr>
          <w:i/>
          <w:iCs/>
          <w:lang w:eastAsia="en-GB"/>
        </w:rPr>
        <w:t>n1-n2</w:t>
      </w:r>
      <w:r>
        <w:rPr>
          <w:rFonts w:hint="eastAsia"/>
        </w:rPr>
        <w:t xml:space="preserve"> </w:t>
      </w:r>
      <w:r>
        <w:rPr>
          <w:lang w:eastAsia="en-GB"/>
        </w:rPr>
        <w:t>for a given number of CSI-RS ports</w:t>
      </w:r>
      <w:r>
        <w:rPr>
          <w:rFonts w:hint="eastAsia"/>
        </w:rPr>
        <w:t>,</w:t>
      </w:r>
      <w:r>
        <w:rPr>
          <w:lang w:eastAsia="en-GB"/>
        </w:rPr>
        <w:t xml:space="preserve"> and the corresponding values of</w:t>
      </w:r>
      <w:r>
        <w:rPr>
          <w:rFonts w:hint="eastAsia"/>
        </w:rPr>
        <w:t xml:space="preserve"> </w:t>
      </w:r>
      <m:oMath>
        <m:d>
          <m:dPr>
            <m:ctrlPr>
              <w:rPr>
                <w:rFonts w:ascii="Cambria Math" w:hAnsi="Cambria Math"/>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rPr>
            </m:ctrlPr>
          </m:e>
        </m:d>
      </m:oMath>
      <w:r>
        <w:rPr>
          <w:rFonts w:hint="eastAsia"/>
        </w:rPr>
        <w:t xml:space="preserve"> </w:t>
      </w:r>
      <w:r>
        <w:rPr>
          <w:lang w:eastAsia="en-GB"/>
        </w:rPr>
        <w:t>are given in</w:t>
      </w:r>
      <w:r>
        <w:rPr>
          <w:rFonts w:hint="eastAsia"/>
        </w:rPr>
        <w:t xml:space="preserve"> </w:t>
      </w:r>
      <w:r>
        <w:rPr>
          <w:lang w:eastAsia="en-GB"/>
        </w:rPr>
        <w:t xml:space="preserve">Table </w:t>
      </w:r>
      <w:r>
        <w:rPr>
          <w:rFonts w:hint="eastAsia"/>
        </w:rPr>
        <w:t>1</w:t>
      </w:r>
      <w:r>
        <w:rPr>
          <w:lang w:eastAsia="en-GB"/>
        </w:rPr>
        <w:t>.</w:t>
      </w:r>
    </w:p>
    <w:p>
      <w:pPr>
        <w:pStyle w:val="42"/>
        <w:rPr>
          <w:rFonts w:ascii="Times New Roman" w:hAnsi="Times New Roman"/>
          <w:b w:val="0"/>
          <w:bCs/>
          <w:color w:val="000000"/>
          <w:lang w:val="en-US" w:eastAsia="zh-CN"/>
        </w:rPr>
      </w:pPr>
      <w:r>
        <w:rPr>
          <w:rFonts w:ascii="Times New Roman" w:hAnsi="Times New Roman"/>
          <w:color w:val="000000"/>
        </w:rPr>
        <w:t xml:space="preserve">Table </w:t>
      </w:r>
      <w:r>
        <w:rPr>
          <w:rFonts w:hint="eastAsia" w:ascii="Times New Roman" w:hAnsi="Times New Roman"/>
          <w:color w:val="000000"/>
          <w:lang w:val="en-US" w:eastAsia="zh-CN"/>
        </w:rPr>
        <w:t>1</w:t>
      </w:r>
      <w:r>
        <w:rPr>
          <w:rFonts w:ascii="Times New Roman" w:hAnsi="Times New Roman"/>
          <w:color w:val="000000"/>
        </w:rPr>
        <w:t xml:space="preserve"> </w:t>
      </w:r>
      <w:r>
        <w:rPr>
          <w:rFonts w:hint="eastAsia" w:ascii="Times New Roman" w:hAnsi="Times New Roman"/>
          <w:b w:val="0"/>
          <w:bCs/>
          <w:color w:val="000000"/>
          <w:lang w:val="en-US" w:eastAsia="zh-CN"/>
        </w:rPr>
        <w:t xml:space="preserve">Rel-16 </w:t>
      </w:r>
      <w:r>
        <w:rPr>
          <w:rFonts w:ascii="Times New Roman" w:hAnsi="Times New Roman"/>
          <w:b w:val="0"/>
          <w:bCs/>
          <w:color w:val="000000"/>
        </w:rPr>
        <w:t xml:space="preserve">supported configurations </w:t>
      </w:r>
      <w:r>
        <w:rPr>
          <w:rFonts w:ascii="Times New Roman" w:hAnsi="Times New Roman" w:eastAsia="Calibri"/>
          <w:b w:val="0"/>
          <w:bCs/>
          <w:color w:val="000000"/>
          <w:lang w:val="en-US"/>
        </w:rPr>
        <w:t xml:space="preserve">of </w:t>
      </w:r>
      <m:oMath>
        <m:d>
          <m:dPr>
            <m:ctrlPr>
              <w:rPr>
                <w:rFonts w:ascii="Cambria Math" w:hAnsi="Cambria Math"/>
                <w:bCs/>
                <w:i/>
                <w:color w:val="000000"/>
                <w:lang w:val="en-US"/>
              </w:rPr>
            </m:ctrlPr>
          </m:dPr>
          <m:e>
            <m:sSub>
              <m:sSubPr>
                <m:ctrlPr>
                  <w:rPr>
                    <w:rFonts w:ascii="Cambria Math" w:hAnsi="Cambria Math"/>
                    <w:b w:val="0"/>
                    <w:i/>
                    <w:color w:val="000000"/>
                    <w:lang w:val="en-US"/>
                  </w:rPr>
                </m:ctrlPr>
              </m:sSubPr>
              <m:e>
                <m:r>
                  <m:rPr>
                    <m:sty m:val="bi"/>
                  </m:rPr>
                  <w:rPr>
                    <w:rFonts w:ascii="Cambria Math" w:hAnsi="Cambria Math"/>
                    <w:color w:val="000000"/>
                    <w:lang w:val="en-US" w:eastAsia="zh-CN"/>
                  </w:rPr>
                  <m:t>N</m:t>
                </m:r>
                <m:ctrlPr>
                  <w:rPr>
                    <w:rFonts w:ascii="Cambria Math" w:hAnsi="Cambria Math"/>
                    <w:b w:val="0"/>
                    <w:i/>
                    <w:color w:val="000000"/>
                    <w:lang w:val="en-US"/>
                  </w:rPr>
                </m:ctrlPr>
              </m:e>
              <m:sub>
                <m:r>
                  <m:rPr>
                    <m:sty m:val="bi"/>
                  </m:rPr>
                  <w:rPr>
                    <w:rFonts w:ascii="Cambria Math" w:hAnsi="Cambria Math"/>
                    <w:color w:val="000000"/>
                    <w:lang w:val="en-US" w:eastAsia="zh-CN"/>
                  </w:rPr>
                  <m:t>1</m:t>
                </m:r>
                <m:ctrlPr>
                  <w:rPr>
                    <w:rFonts w:ascii="Cambria Math" w:hAnsi="Cambria Math"/>
                    <w:b w:val="0"/>
                    <w:i/>
                    <w:color w:val="000000"/>
                    <w:lang w:val="en-US"/>
                  </w:rPr>
                </m:ctrlPr>
              </m:sub>
            </m:sSub>
            <m:r>
              <m:rPr>
                <m:sty m:val="bi"/>
              </m:rPr>
              <w:rPr>
                <w:rFonts w:ascii="Cambria Math" w:hAnsi="Cambria Math"/>
                <w:color w:val="000000"/>
                <w:lang w:val="en-US" w:eastAsia="zh-CN"/>
              </w:rPr>
              <m:t xml:space="preserve">, </m:t>
            </m:r>
            <m:sSub>
              <m:sSubPr>
                <m:ctrlPr>
                  <w:rPr>
                    <w:rFonts w:ascii="Cambria Math" w:hAnsi="Cambria Math"/>
                    <w:b w:val="0"/>
                    <w:i/>
                    <w:color w:val="000000"/>
                    <w:lang w:val="en-US"/>
                  </w:rPr>
                </m:ctrlPr>
              </m:sSubPr>
              <m:e>
                <m:r>
                  <m:rPr>
                    <m:sty m:val="bi"/>
                  </m:rPr>
                  <w:rPr>
                    <w:rFonts w:ascii="Cambria Math" w:hAnsi="Cambria Math"/>
                    <w:color w:val="000000"/>
                    <w:lang w:val="en-US" w:eastAsia="zh-CN"/>
                  </w:rPr>
                  <m:t>N</m:t>
                </m:r>
                <m:ctrlPr>
                  <w:rPr>
                    <w:rFonts w:ascii="Cambria Math" w:hAnsi="Cambria Math"/>
                    <w:b w:val="0"/>
                    <w:i/>
                    <w:color w:val="000000"/>
                    <w:lang w:val="en-US"/>
                  </w:rPr>
                </m:ctrlPr>
              </m:e>
              <m:sub>
                <m:r>
                  <m:rPr>
                    <m:sty m:val="bi"/>
                  </m:rPr>
                  <w:rPr>
                    <w:rFonts w:ascii="Cambria Math" w:hAnsi="Cambria Math"/>
                    <w:color w:val="000000"/>
                    <w:lang w:val="en-US" w:eastAsia="zh-CN"/>
                  </w:rPr>
                  <m:t>2</m:t>
                </m:r>
                <m:ctrlPr>
                  <w:rPr>
                    <w:rFonts w:ascii="Cambria Math" w:hAnsi="Cambria Math"/>
                    <w:b w:val="0"/>
                    <w:i/>
                    <w:color w:val="000000"/>
                    <w:lang w:val="en-US"/>
                  </w:rPr>
                </m:ctrlPr>
              </m:sub>
            </m:sSub>
            <m:ctrlPr>
              <w:rPr>
                <w:rFonts w:ascii="Cambria Math" w:hAnsi="Cambria Math"/>
                <w:bCs/>
                <w:i/>
                <w:color w:val="000000"/>
                <w:lang w:val="en-US"/>
              </w:rPr>
            </m:ctrlPr>
          </m:e>
        </m:d>
      </m:oMath>
      <w:r>
        <w:rPr>
          <w:rFonts w:hint="eastAsia" w:hAnsi="Cambria Math"/>
          <w:bCs/>
          <w:color w:val="000000"/>
          <w:lang w:val="en-US" w:eastAsia="zh-CN"/>
        </w:rPr>
        <w:t xml:space="preserve"> </w:t>
      </w:r>
      <w:r>
        <w:rPr>
          <w:rFonts w:ascii="Times New Roman" w:hAnsi="Times New Roman" w:eastAsia="Calibri"/>
          <w:b w:val="0"/>
          <w:bCs/>
          <w:color w:val="000000"/>
          <w:lang w:val="en-US"/>
        </w:rPr>
        <w:t>and</w:t>
      </w:r>
      <w:r>
        <w:rPr>
          <w:rFonts w:hint="eastAsia" w:ascii="Times New Roman" w:hAnsi="Times New Roman"/>
          <w:b w:val="0"/>
          <w:bCs/>
          <w:color w:val="000000"/>
          <w:lang w:val="en-US" w:eastAsia="zh-CN"/>
        </w:rPr>
        <w:t xml:space="preserve"> </w:t>
      </w:r>
      <m:oMath>
        <m:d>
          <m:dPr>
            <m:ctrlPr>
              <w:rPr>
                <w:rFonts w:ascii="Cambria Math" w:hAnsi="Cambria Math"/>
                <w:bCs/>
                <w:i/>
                <w:color w:val="000000"/>
                <w:lang w:val="en-US"/>
              </w:rPr>
            </m:ctrlPr>
          </m:dPr>
          <m:e>
            <m:sSub>
              <m:sSubPr>
                <m:ctrlPr>
                  <w:rPr>
                    <w:rFonts w:ascii="Cambria Math" w:hAnsi="Cambria Math"/>
                    <w:b w:val="0"/>
                    <w:i/>
                    <w:color w:val="000000"/>
                    <w:lang w:val="en-US"/>
                  </w:rPr>
                </m:ctrlPr>
              </m:sSubPr>
              <m:e>
                <m:r>
                  <m:rPr>
                    <m:sty m:val="bi"/>
                  </m:rPr>
                  <w:rPr>
                    <w:rFonts w:ascii="Cambria Math" w:hAnsi="Cambria Math"/>
                    <w:color w:val="000000"/>
                    <w:lang w:val="en-US" w:eastAsia="zh-CN"/>
                  </w:rPr>
                  <m:t>O</m:t>
                </m:r>
                <m:ctrlPr>
                  <w:rPr>
                    <w:rFonts w:ascii="Cambria Math" w:hAnsi="Cambria Math"/>
                    <w:b w:val="0"/>
                    <w:i/>
                    <w:color w:val="000000"/>
                    <w:lang w:val="en-US"/>
                  </w:rPr>
                </m:ctrlPr>
              </m:e>
              <m:sub>
                <m:r>
                  <m:rPr>
                    <m:sty m:val="bi"/>
                  </m:rPr>
                  <w:rPr>
                    <w:rFonts w:ascii="Cambria Math" w:hAnsi="Cambria Math"/>
                    <w:color w:val="000000"/>
                    <w:lang w:val="en-US" w:eastAsia="zh-CN"/>
                  </w:rPr>
                  <m:t>1</m:t>
                </m:r>
                <m:ctrlPr>
                  <w:rPr>
                    <w:rFonts w:ascii="Cambria Math" w:hAnsi="Cambria Math"/>
                    <w:b w:val="0"/>
                    <w:i/>
                    <w:color w:val="000000"/>
                    <w:lang w:val="en-US"/>
                  </w:rPr>
                </m:ctrlPr>
              </m:sub>
            </m:sSub>
            <m:r>
              <m:rPr>
                <m:sty m:val="bi"/>
              </m:rPr>
              <w:rPr>
                <w:rFonts w:ascii="Cambria Math" w:hAnsi="Cambria Math"/>
                <w:color w:val="000000"/>
                <w:lang w:val="en-US" w:eastAsia="zh-CN"/>
              </w:rPr>
              <m:t xml:space="preserve">, </m:t>
            </m:r>
            <m:sSub>
              <m:sSubPr>
                <m:ctrlPr>
                  <w:rPr>
                    <w:rFonts w:ascii="Cambria Math" w:hAnsi="Cambria Math"/>
                    <w:b w:val="0"/>
                    <w:i/>
                    <w:color w:val="000000"/>
                    <w:lang w:val="en-US"/>
                  </w:rPr>
                </m:ctrlPr>
              </m:sSubPr>
              <m:e>
                <m:r>
                  <m:rPr>
                    <m:sty m:val="bi"/>
                  </m:rPr>
                  <w:rPr>
                    <w:rFonts w:ascii="Cambria Math" w:hAnsi="Cambria Math"/>
                    <w:color w:val="000000"/>
                    <w:lang w:val="en-US" w:eastAsia="zh-CN"/>
                  </w:rPr>
                  <m:t>O</m:t>
                </m:r>
                <m:ctrlPr>
                  <w:rPr>
                    <w:rFonts w:ascii="Cambria Math" w:hAnsi="Cambria Math"/>
                    <w:b w:val="0"/>
                    <w:i/>
                    <w:color w:val="000000"/>
                    <w:lang w:val="en-US"/>
                  </w:rPr>
                </m:ctrlPr>
              </m:e>
              <m:sub>
                <m:r>
                  <m:rPr>
                    <m:sty m:val="bi"/>
                  </m:rPr>
                  <w:rPr>
                    <w:rFonts w:ascii="Cambria Math" w:hAnsi="Cambria Math"/>
                    <w:color w:val="000000"/>
                    <w:lang w:val="en-US" w:eastAsia="zh-CN"/>
                  </w:rPr>
                  <m:t>2</m:t>
                </m:r>
                <m:ctrlPr>
                  <w:rPr>
                    <w:rFonts w:ascii="Cambria Math" w:hAnsi="Cambria Math"/>
                    <w:b w:val="0"/>
                    <w:i/>
                    <w:color w:val="000000"/>
                    <w:lang w:val="en-US"/>
                  </w:rPr>
                </m:ctrlPr>
              </m:sub>
            </m:sSub>
            <m:ctrlPr>
              <w:rPr>
                <w:rFonts w:ascii="Cambria Math" w:hAnsi="Cambria Math"/>
                <w:bCs/>
                <w:i/>
                <w:color w:val="000000"/>
                <w:lang w:val="en-US"/>
              </w:rPr>
            </m:ctrlPr>
          </m:e>
        </m:d>
      </m:oMath>
    </w:p>
    <w:tbl>
      <w:tblPr>
        <w:tblStyle w:val="24"/>
        <w:tblW w:w="0" w:type="auto"/>
        <w:jc w:val="center"/>
        <w:tblLayout w:type="autofit"/>
        <w:tblCellMar>
          <w:top w:w="0" w:type="dxa"/>
          <w:left w:w="108" w:type="dxa"/>
          <w:bottom w:w="0" w:type="dxa"/>
          <w:right w:w="108" w:type="dxa"/>
        </w:tblCellMar>
      </w:tblPr>
      <w:tblGrid>
        <w:gridCol w:w="2819"/>
        <w:gridCol w:w="2268"/>
        <w:gridCol w:w="2268"/>
      </w:tblGrid>
      <w:tr>
        <w:tblPrEx>
          <w:tblCellMar>
            <w:top w:w="0" w:type="dxa"/>
            <w:left w:w="108" w:type="dxa"/>
            <w:bottom w:w="0" w:type="dxa"/>
            <w:right w:w="108" w:type="dxa"/>
          </w:tblCellMar>
        </w:tblPrEx>
        <w:trPr>
          <w:cantSplit/>
          <w:trHeight w:val="464"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pStyle w:val="64"/>
              <w:rPr>
                <w:rFonts w:ascii="Times New Roman" w:hAnsi="Times New Roman" w:eastAsia="Batang"/>
                <w:bCs/>
                <w:color w:val="000000"/>
                <w:sz w:val="20"/>
                <w:lang w:val="en-US"/>
              </w:rPr>
            </w:pPr>
            <w:r>
              <w:rPr>
                <w:rFonts w:ascii="Times New Roman" w:hAnsi="Times New Roman"/>
                <w:color w:val="000000"/>
                <w:sz w:val="20"/>
              </w:rPr>
              <w:t xml:space="preserve">Number of </w:t>
            </w:r>
            <w:r>
              <w:rPr>
                <w:rFonts w:ascii="Times New Roman" w:hAnsi="Times New Roman"/>
                <w:color w:val="000000"/>
                <w:sz w:val="20"/>
              </w:rPr>
              <w:br w:type="textWrapping"/>
            </w:r>
            <w:r>
              <w:rPr>
                <w:rFonts w:ascii="Times New Roman" w:hAnsi="Times New Roman"/>
                <w:color w:val="000000"/>
                <w:sz w:val="20"/>
              </w:rPr>
              <w:t xml:space="preserve">CSI-RS antenna ports, </w:t>
            </w:r>
            <w:r>
              <w:rPr>
                <w:rFonts w:ascii="Times New Roman" w:hAnsi="Times New Roman" w:eastAsia="Calibri"/>
                <w:b w:val="0"/>
                <w:color w:val="000000"/>
                <w:position w:val="-10"/>
                <w:sz w:val="20"/>
                <w:lang w:val="en-US"/>
              </w:rPr>
              <w:object>
                <v:shape id="_x0000_i1025" o:spt="75" type="#_x0000_t75" style="height:14.4pt;width:28.1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tc>
        <w:tc>
          <w:tcPr>
            <w:tcW w:w="2268" w:type="dxa"/>
            <w:vMerge w:val="restart"/>
            <w:tcBorders>
              <w:top w:val="single" w:color="auto" w:sz="4" w:space="0"/>
              <w:left w:val="nil"/>
              <w:bottom w:val="single" w:color="auto" w:sz="4" w:space="0"/>
              <w:right w:val="single" w:color="auto" w:sz="4" w:space="0"/>
            </w:tcBorders>
            <w:shd w:val="clear" w:color="auto" w:fill="BEBEBE" w:themeFill="background1" w:themeFillShade="BF"/>
            <w:vAlign w:val="center"/>
          </w:tcPr>
          <w:p>
            <w:pPr>
              <w:pStyle w:val="64"/>
              <w:rPr>
                <w:rFonts w:ascii="Times New Roman" w:hAnsi="Times New Roman" w:eastAsia="Batang"/>
                <w:b w:val="0"/>
                <w:bCs/>
                <w:color w:val="000000"/>
                <w:sz w:val="20"/>
                <w:lang w:val="en-US"/>
              </w:rPr>
            </w:pPr>
            <m:oMathPara>
              <m:oMath>
                <m:d>
                  <m:dPr>
                    <m:ctrlPr>
                      <w:rPr>
                        <w:rFonts w:ascii="Cambria Math" w:hAnsi="Cambria Math"/>
                        <w:bCs/>
                        <w:i/>
                        <w:color w:val="000000"/>
                        <w:lang w:val="en-US"/>
                      </w:rPr>
                    </m:ctrlPr>
                  </m:dPr>
                  <m:e>
                    <m:sSub>
                      <m:sSubPr>
                        <m:ctrlPr>
                          <w:rPr>
                            <w:rFonts w:ascii="Cambria Math" w:hAnsi="Cambria Math"/>
                            <w:b w:val="0"/>
                            <w:i/>
                            <w:color w:val="000000"/>
                            <w:lang w:val="en-US"/>
                          </w:rPr>
                        </m:ctrlPr>
                      </m:sSubPr>
                      <m:e>
                        <m:r>
                          <m:rPr>
                            <m:sty m:val="bi"/>
                          </m:rPr>
                          <w:rPr>
                            <w:rFonts w:ascii="Cambria Math" w:hAnsi="Cambria Math" w:eastAsia="宋体"/>
                            <w:color w:val="000000"/>
                            <w:lang w:val="en-US" w:eastAsia="zh-CN"/>
                          </w:rPr>
                          <m:t>N</m:t>
                        </m:r>
                        <m:ctrlPr>
                          <w:rPr>
                            <w:rFonts w:ascii="Cambria Math" w:hAnsi="Cambria Math"/>
                            <w:b w:val="0"/>
                            <w:i/>
                            <w:color w:val="000000"/>
                            <w:lang w:val="en-US"/>
                          </w:rPr>
                        </m:ctrlPr>
                      </m:e>
                      <m:sub>
                        <m:r>
                          <m:rPr>
                            <m:sty m:val="bi"/>
                          </m:rPr>
                          <w:rPr>
                            <w:rFonts w:ascii="Cambria Math" w:hAnsi="Cambria Math" w:eastAsia="宋体"/>
                            <w:color w:val="000000"/>
                            <w:lang w:val="en-US" w:eastAsia="zh-CN"/>
                          </w:rPr>
                          <m:t>1</m:t>
                        </m:r>
                        <m:ctrlPr>
                          <w:rPr>
                            <w:rFonts w:ascii="Cambria Math" w:hAnsi="Cambria Math"/>
                            <w:b w:val="0"/>
                            <w:i/>
                            <w:color w:val="000000"/>
                            <w:lang w:val="en-US"/>
                          </w:rPr>
                        </m:ctrlPr>
                      </m:sub>
                    </m:sSub>
                    <m:r>
                      <m:rPr>
                        <m:sty m:val="bi"/>
                      </m:rPr>
                      <w:rPr>
                        <w:rFonts w:ascii="Cambria Math" w:hAnsi="Cambria Math" w:eastAsia="宋体"/>
                        <w:color w:val="000000"/>
                        <w:lang w:val="en-US" w:eastAsia="zh-CN"/>
                      </w:rPr>
                      <m:t xml:space="preserve">, </m:t>
                    </m:r>
                    <m:sSub>
                      <m:sSubPr>
                        <m:ctrlPr>
                          <w:rPr>
                            <w:rFonts w:ascii="Cambria Math" w:hAnsi="Cambria Math"/>
                            <w:b w:val="0"/>
                            <w:i/>
                            <w:color w:val="000000"/>
                            <w:lang w:val="en-US"/>
                          </w:rPr>
                        </m:ctrlPr>
                      </m:sSubPr>
                      <m:e>
                        <m:r>
                          <m:rPr>
                            <m:sty m:val="bi"/>
                          </m:rPr>
                          <w:rPr>
                            <w:rFonts w:ascii="Cambria Math" w:hAnsi="Cambria Math" w:eastAsia="宋体"/>
                            <w:color w:val="000000"/>
                            <w:lang w:val="en-US" w:eastAsia="zh-CN"/>
                          </w:rPr>
                          <m:t>N</m:t>
                        </m:r>
                        <m:ctrlPr>
                          <w:rPr>
                            <w:rFonts w:ascii="Cambria Math" w:hAnsi="Cambria Math"/>
                            <w:b w:val="0"/>
                            <w:i/>
                            <w:color w:val="000000"/>
                            <w:lang w:val="en-US"/>
                          </w:rPr>
                        </m:ctrlPr>
                      </m:e>
                      <m:sub>
                        <m:r>
                          <m:rPr>
                            <m:sty m:val="bi"/>
                          </m:rPr>
                          <w:rPr>
                            <w:rFonts w:ascii="Cambria Math" w:hAnsi="Cambria Math" w:eastAsia="宋体"/>
                            <w:color w:val="000000"/>
                            <w:lang w:val="en-US" w:eastAsia="zh-CN"/>
                          </w:rPr>
                          <m:t>2</m:t>
                        </m:r>
                        <m:ctrlPr>
                          <w:rPr>
                            <w:rFonts w:ascii="Cambria Math" w:hAnsi="Cambria Math"/>
                            <w:b w:val="0"/>
                            <w:i/>
                            <w:color w:val="000000"/>
                            <w:lang w:val="en-US"/>
                          </w:rPr>
                        </m:ctrlPr>
                      </m:sub>
                    </m:sSub>
                    <m:ctrlPr>
                      <w:rPr>
                        <w:rFonts w:ascii="Cambria Math" w:hAnsi="Cambria Math"/>
                        <w:bCs/>
                        <w:i/>
                        <w:color w:val="000000"/>
                        <w:lang w:val="en-US"/>
                      </w:rPr>
                    </m:ctrlPr>
                  </m:e>
                </m:d>
              </m:oMath>
            </m:oMathPara>
          </w:p>
        </w:tc>
        <w:tc>
          <w:tcPr>
            <w:tcW w:w="2268" w:type="dxa"/>
            <w:vMerge w:val="restar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pStyle w:val="64"/>
              <w:rPr>
                <w:rFonts w:ascii="Times New Roman" w:hAnsi="Times New Roman" w:eastAsia="Batang"/>
                <w:b w:val="0"/>
                <w:bCs/>
                <w:color w:val="000000"/>
                <w:sz w:val="20"/>
                <w:lang w:val="en-US"/>
              </w:rPr>
            </w:pPr>
            <m:oMathPara>
              <m:oMath>
                <m:d>
                  <m:dPr>
                    <m:ctrlPr>
                      <w:rPr>
                        <w:rFonts w:ascii="Cambria Math" w:hAnsi="Cambria Math"/>
                        <w:bCs/>
                        <w:i/>
                        <w:color w:val="000000"/>
                        <w:lang w:val="en-US"/>
                      </w:rPr>
                    </m:ctrlPr>
                  </m:dPr>
                  <m:e>
                    <m:sSub>
                      <m:sSubPr>
                        <m:ctrlPr>
                          <w:rPr>
                            <w:rFonts w:ascii="Cambria Math" w:hAnsi="Cambria Math"/>
                            <w:b w:val="0"/>
                            <w:i/>
                            <w:color w:val="000000"/>
                            <w:lang w:val="en-US"/>
                          </w:rPr>
                        </m:ctrlPr>
                      </m:sSubPr>
                      <m:e>
                        <m:r>
                          <m:rPr>
                            <m:sty m:val="bi"/>
                          </m:rPr>
                          <w:rPr>
                            <w:rFonts w:ascii="Cambria Math" w:hAnsi="Cambria Math" w:eastAsia="宋体"/>
                            <w:color w:val="000000"/>
                            <w:lang w:val="en-US" w:eastAsia="zh-CN"/>
                          </w:rPr>
                          <m:t>O</m:t>
                        </m:r>
                        <m:ctrlPr>
                          <w:rPr>
                            <w:rFonts w:ascii="Cambria Math" w:hAnsi="Cambria Math"/>
                            <w:b w:val="0"/>
                            <w:i/>
                            <w:color w:val="000000"/>
                            <w:lang w:val="en-US"/>
                          </w:rPr>
                        </m:ctrlPr>
                      </m:e>
                      <m:sub>
                        <m:r>
                          <m:rPr>
                            <m:sty m:val="bi"/>
                          </m:rPr>
                          <w:rPr>
                            <w:rFonts w:ascii="Cambria Math" w:hAnsi="Cambria Math" w:eastAsia="宋体"/>
                            <w:color w:val="000000"/>
                            <w:lang w:val="en-US" w:eastAsia="zh-CN"/>
                          </w:rPr>
                          <m:t>1</m:t>
                        </m:r>
                        <m:ctrlPr>
                          <w:rPr>
                            <w:rFonts w:ascii="Cambria Math" w:hAnsi="Cambria Math"/>
                            <w:b w:val="0"/>
                            <w:i/>
                            <w:color w:val="000000"/>
                            <w:lang w:val="en-US"/>
                          </w:rPr>
                        </m:ctrlPr>
                      </m:sub>
                    </m:sSub>
                    <m:r>
                      <m:rPr>
                        <m:sty m:val="bi"/>
                      </m:rPr>
                      <w:rPr>
                        <w:rFonts w:ascii="Cambria Math" w:hAnsi="Cambria Math" w:eastAsia="宋体"/>
                        <w:color w:val="000000"/>
                        <w:lang w:val="en-US" w:eastAsia="zh-CN"/>
                      </w:rPr>
                      <m:t xml:space="preserve">, </m:t>
                    </m:r>
                    <m:sSub>
                      <m:sSubPr>
                        <m:ctrlPr>
                          <w:rPr>
                            <w:rFonts w:ascii="Cambria Math" w:hAnsi="Cambria Math"/>
                            <w:b w:val="0"/>
                            <w:i/>
                            <w:color w:val="000000"/>
                            <w:lang w:val="en-US"/>
                          </w:rPr>
                        </m:ctrlPr>
                      </m:sSubPr>
                      <m:e>
                        <m:r>
                          <m:rPr>
                            <m:sty m:val="bi"/>
                          </m:rPr>
                          <w:rPr>
                            <w:rFonts w:ascii="Cambria Math" w:hAnsi="Cambria Math" w:eastAsia="宋体"/>
                            <w:color w:val="000000"/>
                            <w:lang w:val="en-US" w:eastAsia="zh-CN"/>
                          </w:rPr>
                          <m:t>O</m:t>
                        </m:r>
                        <m:ctrlPr>
                          <w:rPr>
                            <w:rFonts w:ascii="Cambria Math" w:hAnsi="Cambria Math"/>
                            <w:b w:val="0"/>
                            <w:i/>
                            <w:color w:val="000000"/>
                            <w:lang w:val="en-US"/>
                          </w:rPr>
                        </m:ctrlPr>
                      </m:e>
                      <m:sub>
                        <m:r>
                          <m:rPr>
                            <m:sty m:val="bi"/>
                          </m:rPr>
                          <w:rPr>
                            <w:rFonts w:ascii="Cambria Math" w:hAnsi="Cambria Math" w:eastAsia="宋体"/>
                            <w:color w:val="000000"/>
                            <w:lang w:val="en-US" w:eastAsia="zh-CN"/>
                          </w:rPr>
                          <m:t>2</m:t>
                        </m:r>
                        <m:ctrlPr>
                          <w:rPr>
                            <w:rFonts w:ascii="Cambria Math" w:hAnsi="Cambria Math"/>
                            <w:b w:val="0"/>
                            <w:i/>
                            <w:color w:val="000000"/>
                            <w:lang w:val="en-US"/>
                          </w:rPr>
                        </m:ctrlPr>
                      </m:sub>
                    </m:sSub>
                    <m:ctrlPr>
                      <w:rPr>
                        <w:rFonts w:ascii="Cambria Math" w:hAnsi="Cambria Math"/>
                        <w:bCs/>
                        <w:i/>
                        <w:color w:val="000000"/>
                        <w:lang w:val="en-US"/>
                      </w:rPr>
                    </m:ctrlPr>
                  </m:e>
                </m:d>
              </m:oMath>
            </m:oMathPara>
          </w:p>
        </w:tc>
      </w:tr>
      <w:tr>
        <w:tblPrEx>
          <w:tblCellMar>
            <w:top w:w="0" w:type="dxa"/>
            <w:left w:w="108" w:type="dxa"/>
            <w:bottom w:w="0" w:type="dxa"/>
            <w:right w:w="108" w:type="dxa"/>
          </w:tblCellMar>
        </w:tblPrEx>
        <w:trPr>
          <w:cantSplit/>
          <w:trHeight w:val="264"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spacing w:after="0"/>
              <w:rPr>
                <w:rFonts w:eastAsia="Batang"/>
                <w:b/>
                <w:bCs/>
                <w:color w:val="000000"/>
                <w:szCs w:val="20"/>
              </w:rPr>
            </w:pPr>
          </w:p>
        </w:tc>
        <w:tc>
          <w:tcPr>
            <w:tcW w:w="2268" w:type="dxa"/>
            <w:vMerge w:val="continue"/>
            <w:tcBorders>
              <w:top w:val="single" w:color="auto" w:sz="4" w:space="0"/>
              <w:left w:val="nil"/>
              <w:bottom w:val="single" w:color="auto" w:sz="4" w:space="0"/>
              <w:right w:val="single" w:color="auto" w:sz="4" w:space="0"/>
            </w:tcBorders>
            <w:shd w:val="clear" w:color="auto" w:fill="BEBEBE" w:themeFill="background1" w:themeFillShade="BF"/>
            <w:vAlign w:val="center"/>
          </w:tcPr>
          <w:p>
            <w:pPr>
              <w:spacing w:after="0"/>
              <w:rPr>
                <w:rFonts w:eastAsia="Batang"/>
                <w:b/>
                <w:bCs/>
                <w:color w:val="000000"/>
                <w:szCs w:val="20"/>
              </w:rPr>
            </w:pPr>
          </w:p>
        </w:tc>
        <w:tc>
          <w:tcPr>
            <w:tcW w:w="2268" w:type="dxa"/>
            <w:vMerge w:val="continue"/>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pPr>
              <w:spacing w:after="0"/>
              <w:rPr>
                <w:rFonts w:eastAsia="Batang"/>
                <w:b/>
                <w:bCs/>
                <w:color w:val="000000"/>
                <w:szCs w:val="20"/>
              </w:rPr>
            </w:pPr>
          </w:p>
        </w:tc>
      </w:tr>
      <w:tr>
        <w:tblPrEx>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4"/>
              <w:rPr>
                <w:rFonts w:ascii="Times New Roman" w:hAnsi="Times New Roman" w:eastAsia="Batang"/>
                <w:b/>
                <w:bCs/>
                <w:color w:val="000000"/>
                <w:sz w:val="20"/>
                <w:lang w:val="en-US"/>
              </w:rPr>
            </w:pPr>
            <w:r>
              <w:rPr>
                <w:rFonts w:ascii="Times New Roman" w:hAnsi="Times New Roman"/>
                <w:color w:val="000000"/>
                <w:sz w:val="20"/>
              </w:rPr>
              <w:t>4</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color w:val="000000"/>
                <w:sz w:val="20"/>
              </w:rPr>
              <w:t>(2,</w:t>
            </w:r>
            <w:r>
              <w:rPr>
                <w:rFonts w:hint="eastAsia" w:ascii="Times New Roman" w:hAnsi="Times New Roman" w:eastAsia="宋体"/>
                <w:color w:val="000000"/>
                <w:sz w:val="20"/>
                <w:lang w:val="en-US" w:eastAsia="zh-CN"/>
              </w:rPr>
              <w:t xml:space="preserve"> </w:t>
            </w:r>
            <w:r>
              <w:rPr>
                <w:rFonts w:ascii="Times New Roman" w:hAnsi="Times New Roman"/>
                <w:color w:val="000000"/>
                <w:sz w:val="20"/>
              </w:rPr>
              <w:t>1)</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color w:val="000000"/>
                <w:sz w:val="20"/>
              </w:rPr>
              <w:t>(4,</w:t>
            </w:r>
            <w:r>
              <w:rPr>
                <w:rFonts w:hint="eastAsia" w:ascii="Times New Roman" w:hAnsi="Times New Roman" w:eastAsia="宋体"/>
                <w:color w:val="000000"/>
                <w:sz w:val="20"/>
                <w:lang w:val="en-US" w:eastAsia="zh-CN"/>
              </w:rPr>
              <w:t xml:space="preserve"> </w:t>
            </w:r>
            <w:r>
              <w:rPr>
                <w:rFonts w:ascii="Times New Roman" w:hAnsi="Times New Roman"/>
                <w:color w:val="000000"/>
                <w:sz w:val="20"/>
              </w:rPr>
              <w:t>1)</w:t>
            </w:r>
          </w:p>
        </w:tc>
      </w:tr>
      <w:tr>
        <w:tblPrEx>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right w:val="single" w:color="auto" w:sz="4" w:space="0"/>
            </w:tcBorders>
            <w:vAlign w:val="center"/>
          </w:tcPr>
          <w:p>
            <w:pPr>
              <w:pStyle w:val="44"/>
              <w:rPr>
                <w:rFonts w:ascii="Times New Roman" w:hAnsi="Times New Roman" w:eastAsia="Batang"/>
                <w:b/>
                <w:bCs/>
                <w:color w:val="000000"/>
                <w:sz w:val="20"/>
                <w:lang w:val="en-US"/>
              </w:rPr>
            </w:pPr>
            <w:r>
              <w:rPr>
                <w:rFonts w:ascii="Times New Roman" w:hAnsi="Times New Roman"/>
                <w:color w:val="000000"/>
                <w:sz w:val="20"/>
              </w:rPr>
              <w:t>8</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color w:val="000000"/>
                <w:sz w:val="20"/>
              </w:rPr>
              <w:t>(2,</w:t>
            </w:r>
            <w:r>
              <w:rPr>
                <w:rFonts w:hint="eastAsia" w:ascii="Times New Roman" w:hAnsi="Times New Roman" w:eastAsia="宋体"/>
                <w:color w:val="000000"/>
                <w:sz w:val="20"/>
                <w:lang w:val="en-US" w:eastAsia="zh-CN"/>
              </w:rPr>
              <w:t xml:space="preserve"> </w:t>
            </w:r>
            <w:r>
              <w:rPr>
                <w:rFonts w:ascii="Times New Roman" w:hAnsi="Times New Roman"/>
                <w:color w:val="000000"/>
                <w:sz w:val="20"/>
              </w:rPr>
              <w:t>2)</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color w:val="000000"/>
                <w:sz w:val="20"/>
              </w:rPr>
              <w:t>(4,</w:t>
            </w:r>
            <w:r>
              <w:rPr>
                <w:rFonts w:hint="eastAsia" w:ascii="Times New Roman" w:hAnsi="Times New Roman" w:eastAsia="宋体"/>
                <w:color w:val="000000"/>
                <w:sz w:val="20"/>
                <w:lang w:val="en-US" w:eastAsia="zh-CN"/>
              </w:rPr>
              <w:t xml:space="preserve"> </w:t>
            </w:r>
            <w:r>
              <w:rPr>
                <w:rFonts w:ascii="Times New Roman" w:hAnsi="Times New Roman"/>
                <w:color w:val="000000"/>
                <w:sz w:val="20"/>
              </w:rPr>
              <w:t xml:space="preserve">4) </w:t>
            </w:r>
          </w:p>
        </w:tc>
      </w:tr>
      <w:tr>
        <w:tblPrEx>
          <w:tblCellMar>
            <w:top w:w="0" w:type="dxa"/>
            <w:left w:w="108" w:type="dxa"/>
            <w:bottom w:w="0" w:type="dxa"/>
            <w:right w:w="108" w:type="dxa"/>
          </w:tblCellMar>
        </w:tblPrEx>
        <w:trPr>
          <w:cantSplit/>
          <w:jc w:val="center"/>
        </w:trPr>
        <w:tc>
          <w:tcPr>
            <w:tcW w:w="0" w:type="auto"/>
            <w:vMerge w:val="continue"/>
            <w:tcBorders>
              <w:left w:val="single" w:color="auto" w:sz="4" w:space="0"/>
              <w:bottom w:val="single" w:color="auto" w:sz="4" w:space="0"/>
              <w:right w:val="single" w:color="auto" w:sz="4" w:space="0"/>
            </w:tcBorders>
            <w:vAlign w:val="center"/>
          </w:tcPr>
          <w:p>
            <w:pPr>
              <w:pStyle w:val="44"/>
              <w:rPr>
                <w:rFonts w:ascii="Times New Roman" w:hAnsi="Times New Roman"/>
                <w:color w:val="000000"/>
                <w:sz w:val="20"/>
              </w:rPr>
            </w:pP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color w:val="000000"/>
                <w:sz w:val="20"/>
              </w:rPr>
              <w:t>(4,</w:t>
            </w:r>
            <w:r>
              <w:rPr>
                <w:rFonts w:hint="eastAsia" w:ascii="Times New Roman" w:hAnsi="Times New Roman" w:eastAsia="宋体"/>
                <w:color w:val="000000"/>
                <w:sz w:val="20"/>
                <w:lang w:val="en-US" w:eastAsia="zh-CN"/>
              </w:rPr>
              <w:t xml:space="preserve"> </w:t>
            </w:r>
            <w:r>
              <w:rPr>
                <w:rFonts w:ascii="Times New Roman" w:hAnsi="Times New Roman"/>
                <w:color w:val="000000"/>
                <w:sz w:val="20"/>
              </w:rPr>
              <w:t>1)</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1)</w:t>
            </w:r>
          </w:p>
        </w:tc>
      </w:tr>
      <w:tr>
        <w:tblPrEx>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right w:val="single" w:color="auto" w:sz="4" w:space="0"/>
            </w:tcBorders>
            <w:vAlign w:val="center"/>
          </w:tcPr>
          <w:p>
            <w:pPr>
              <w:pStyle w:val="44"/>
              <w:rPr>
                <w:rFonts w:ascii="Times New Roman" w:hAnsi="Times New Roman"/>
                <w:color w:val="000000"/>
                <w:sz w:val="20"/>
              </w:rPr>
            </w:pPr>
            <w:r>
              <w:rPr>
                <w:rFonts w:ascii="Times New Roman" w:hAnsi="Times New Roman"/>
                <w:color w:val="000000"/>
                <w:sz w:val="20"/>
              </w:rPr>
              <w:t>12</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color w:val="000000"/>
                <w:sz w:val="20"/>
              </w:rPr>
              <w:t>(3,</w:t>
            </w:r>
            <w:r>
              <w:rPr>
                <w:rFonts w:hint="eastAsia" w:ascii="Times New Roman" w:hAnsi="Times New Roman" w:eastAsia="宋体"/>
                <w:color w:val="000000"/>
                <w:sz w:val="20"/>
                <w:lang w:val="en-US" w:eastAsia="zh-CN"/>
              </w:rPr>
              <w:t xml:space="preserve"> </w:t>
            </w:r>
            <w:r>
              <w:rPr>
                <w:rFonts w:ascii="Times New Roman" w:hAnsi="Times New Roman"/>
                <w:color w:val="000000"/>
                <w:sz w:val="20"/>
              </w:rPr>
              <w:t>2)</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color w:val="000000"/>
                <w:sz w:val="20"/>
              </w:rPr>
              <w:t>(4,</w:t>
            </w:r>
            <w:r>
              <w:rPr>
                <w:rFonts w:hint="eastAsia" w:ascii="Times New Roman" w:hAnsi="Times New Roman" w:eastAsia="宋体"/>
                <w:color w:val="000000"/>
                <w:sz w:val="20"/>
                <w:lang w:val="en-US" w:eastAsia="zh-CN"/>
              </w:rPr>
              <w:t xml:space="preserve"> </w:t>
            </w:r>
            <w:r>
              <w:rPr>
                <w:rFonts w:ascii="Times New Roman" w:hAnsi="Times New Roman"/>
                <w:color w:val="000000"/>
                <w:sz w:val="20"/>
              </w:rPr>
              <w:t>4)</w:t>
            </w:r>
          </w:p>
        </w:tc>
      </w:tr>
      <w:tr>
        <w:tblPrEx>
          <w:tblCellMar>
            <w:top w:w="0" w:type="dxa"/>
            <w:left w:w="108" w:type="dxa"/>
            <w:bottom w:w="0" w:type="dxa"/>
            <w:right w:w="108" w:type="dxa"/>
          </w:tblCellMar>
        </w:tblPrEx>
        <w:trPr>
          <w:cantSplit/>
          <w:jc w:val="center"/>
        </w:trPr>
        <w:tc>
          <w:tcPr>
            <w:tcW w:w="0" w:type="auto"/>
            <w:vMerge w:val="continue"/>
            <w:tcBorders>
              <w:left w:val="single" w:color="auto" w:sz="4" w:space="0"/>
              <w:right w:val="single" w:color="auto" w:sz="4" w:space="0"/>
            </w:tcBorders>
            <w:vAlign w:val="center"/>
          </w:tcPr>
          <w:p>
            <w:pPr>
              <w:pStyle w:val="44"/>
              <w:rPr>
                <w:rFonts w:ascii="Times New Roman" w:hAnsi="Times New Roman"/>
                <w:color w:val="000000"/>
                <w:sz w:val="20"/>
              </w:rPr>
            </w:pP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color w:val="000000"/>
                <w:sz w:val="20"/>
              </w:rPr>
              <w:t>(6,</w:t>
            </w:r>
            <w:r>
              <w:rPr>
                <w:rFonts w:hint="eastAsia" w:ascii="Times New Roman" w:hAnsi="Times New Roman" w:eastAsia="宋体"/>
                <w:color w:val="000000"/>
                <w:sz w:val="20"/>
                <w:lang w:val="en-US" w:eastAsia="zh-CN"/>
              </w:rPr>
              <w:t xml:space="preserve"> </w:t>
            </w:r>
            <w:r>
              <w:rPr>
                <w:rFonts w:ascii="Times New Roman" w:hAnsi="Times New Roman"/>
                <w:color w:val="000000"/>
                <w:sz w:val="20"/>
              </w:rPr>
              <w:t>1)</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1)</w:t>
            </w:r>
          </w:p>
        </w:tc>
      </w:tr>
      <w:tr>
        <w:tblPrEx>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right w:val="single" w:color="auto" w:sz="4" w:space="0"/>
            </w:tcBorders>
            <w:vAlign w:val="center"/>
          </w:tcPr>
          <w:p>
            <w:pPr>
              <w:pStyle w:val="44"/>
              <w:rPr>
                <w:rFonts w:ascii="Times New Roman" w:hAnsi="Times New Roman"/>
                <w:color w:val="000000"/>
                <w:sz w:val="20"/>
              </w:rPr>
            </w:pPr>
            <w:r>
              <w:rPr>
                <w:rFonts w:ascii="Times New Roman" w:hAnsi="Times New Roman" w:eastAsia="MS Mincho"/>
                <w:color w:val="000000"/>
                <w:sz w:val="20"/>
                <w:lang w:eastAsia="ja-JP"/>
              </w:rPr>
              <w:t>16</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2)</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4)</w:t>
            </w:r>
          </w:p>
        </w:tc>
      </w:tr>
      <w:tr>
        <w:tblPrEx>
          <w:tblCellMar>
            <w:top w:w="0" w:type="dxa"/>
            <w:left w:w="108" w:type="dxa"/>
            <w:bottom w:w="0" w:type="dxa"/>
            <w:right w:w="108" w:type="dxa"/>
          </w:tblCellMar>
        </w:tblPrEx>
        <w:trPr>
          <w:cantSplit/>
          <w:jc w:val="center"/>
        </w:trPr>
        <w:tc>
          <w:tcPr>
            <w:tcW w:w="0" w:type="auto"/>
            <w:vMerge w:val="continue"/>
            <w:tcBorders>
              <w:left w:val="single" w:color="auto" w:sz="4" w:space="0"/>
              <w:bottom w:val="single" w:color="auto" w:sz="4" w:space="0"/>
              <w:right w:val="single" w:color="auto" w:sz="4" w:space="0"/>
            </w:tcBorders>
            <w:vAlign w:val="center"/>
          </w:tcPr>
          <w:p>
            <w:pPr>
              <w:pStyle w:val="44"/>
              <w:rPr>
                <w:rFonts w:ascii="Times New Roman" w:hAnsi="Times New Roman"/>
                <w:color w:val="000000"/>
                <w:sz w:val="20"/>
              </w:rPr>
            </w:pP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(8,</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1)</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1)</w:t>
            </w:r>
          </w:p>
        </w:tc>
      </w:tr>
      <w:tr>
        <w:tblPrEx>
          <w:tblCellMar>
            <w:top w:w="0" w:type="dxa"/>
            <w:left w:w="108" w:type="dxa"/>
            <w:bottom w:w="0" w:type="dxa"/>
            <w:right w:w="108" w:type="dxa"/>
          </w:tblCellMar>
        </w:tblPrEx>
        <w:trPr>
          <w:cantSplit/>
          <w:jc w:val="center"/>
        </w:trPr>
        <w:tc>
          <w:tcPr>
            <w:tcW w:w="0" w:type="auto"/>
            <w:vMerge w:val="restart"/>
            <w:tcBorders>
              <w:left w:val="single" w:color="auto" w:sz="4" w:space="0"/>
              <w:right w:val="single" w:color="auto" w:sz="4" w:space="0"/>
            </w:tcBorders>
            <w:vAlign w:val="center"/>
          </w:tcPr>
          <w:p>
            <w:pPr>
              <w:pStyle w:val="44"/>
              <w:rPr>
                <w:rFonts w:ascii="Times New Roman" w:hAnsi="Times New Roman"/>
                <w:color w:val="000000"/>
                <w:sz w:val="20"/>
              </w:rPr>
            </w:pPr>
            <w:r>
              <w:rPr>
                <w:rFonts w:ascii="Times New Roman" w:hAnsi="Times New Roman" w:eastAsia="MS Mincho"/>
                <w:color w:val="000000"/>
                <w:sz w:val="20"/>
                <w:lang w:eastAsia="ja-JP"/>
              </w:rPr>
              <w:t>24</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3)</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4)</w:t>
            </w:r>
          </w:p>
        </w:tc>
      </w:tr>
      <w:tr>
        <w:tblPrEx>
          <w:tblCellMar>
            <w:top w:w="0" w:type="dxa"/>
            <w:left w:w="108" w:type="dxa"/>
            <w:bottom w:w="0" w:type="dxa"/>
            <w:right w:w="108" w:type="dxa"/>
          </w:tblCellMar>
        </w:tblPrEx>
        <w:trPr>
          <w:cantSplit/>
          <w:jc w:val="center"/>
        </w:trPr>
        <w:tc>
          <w:tcPr>
            <w:tcW w:w="0" w:type="auto"/>
            <w:vMerge w:val="continue"/>
            <w:tcBorders>
              <w:left w:val="single" w:color="auto" w:sz="4" w:space="0"/>
              <w:right w:val="single" w:color="auto" w:sz="4" w:space="0"/>
            </w:tcBorders>
            <w:vAlign w:val="center"/>
          </w:tcPr>
          <w:p>
            <w:pPr>
              <w:pStyle w:val="44"/>
              <w:rPr>
                <w:rFonts w:ascii="Times New Roman" w:hAnsi="Times New Roman"/>
                <w:color w:val="000000"/>
                <w:sz w:val="20"/>
              </w:rPr>
            </w:pP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(6,</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2)</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4)</w:t>
            </w:r>
          </w:p>
        </w:tc>
      </w:tr>
      <w:tr>
        <w:tblPrEx>
          <w:tblCellMar>
            <w:top w:w="0" w:type="dxa"/>
            <w:left w:w="108" w:type="dxa"/>
            <w:bottom w:w="0" w:type="dxa"/>
            <w:right w:w="108" w:type="dxa"/>
          </w:tblCellMar>
        </w:tblPrEx>
        <w:trPr>
          <w:cantSplit/>
          <w:jc w:val="center"/>
        </w:trPr>
        <w:tc>
          <w:tcPr>
            <w:tcW w:w="0" w:type="auto"/>
            <w:vMerge w:val="continue"/>
            <w:tcBorders>
              <w:left w:val="single" w:color="auto" w:sz="4" w:space="0"/>
              <w:right w:val="single" w:color="auto" w:sz="4" w:space="0"/>
            </w:tcBorders>
            <w:vAlign w:val="center"/>
          </w:tcPr>
          <w:p>
            <w:pPr>
              <w:pStyle w:val="44"/>
              <w:rPr>
                <w:rFonts w:ascii="Times New Roman" w:hAnsi="Times New Roman"/>
                <w:color w:val="000000"/>
                <w:sz w:val="20"/>
              </w:rPr>
            </w:pP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(12,</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1)</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1)</w:t>
            </w:r>
          </w:p>
        </w:tc>
      </w:tr>
      <w:tr>
        <w:tblPrEx>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4"/>
              <w:rPr>
                <w:rFonts w:ascii="Times New Roman" w:hAnsi="Times New Roman"/>
                <w:color w:val="000000"/>
                <w:sz w:val="20"/>
              </w:rPr>
            </w:pPr>
            <w:r>
              <w:rPr>
                <w:rFonts w:ascii="Times New Roman" w:hAnsi="Times New Roman"/>
                <w:color w:val="000000"/>
                <w:sz w:val="20"/>
              </w:rPr>
              <w:t>32</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4)</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4)</w:t>
            </w:r>
          </w:p>
        </w:tc>
      </w:tr>
      <w:tr>
        <w:tblPrEx>
          <w:tblCellMar>
            <w:top w:w="0" w:type="dxa"/>
            <w:left w:w="108" w:type="dxa"/>
            <w:bottom w:w="0" w:type="dxa"/>
            <w:right w:w="108" w:type="dxa"/>
          </w:tblCellMar>
        </w:tblPrEx>
        <w:trPr>
          <w:cantSplit/>
          <w:jc w:val="center"/>
        </w:trPr>
        <w:tc>
          <w:tcPr>
            <w:tcW w:w="0" w:type="auto"/>
            <w:vMerge w:val="continue"/>
            <w:tcBorders>
              <w:left w:val="single" w:color="auto" w:sz="4" w:space="0"/>
              <w:bottom w:val="single" w:color="auto" w:sz="4" w:space="0"/>
              <w:right w:val="single" w:color="auto" w:sz="4" w:space="0"/>
            </w:tcBorders>
            <w:vAlign w:val="center"/>
          </w:tcPr>
          <w:p>
            <w:pPr>
              <w:pStyle w:val="44"/>
              <w:rPr>
                <w:rFonts w:ascii="Times New Roman" w:hAnsi="Times New Roman"/>
                <w:color w:val="000000"/>
                <w:sz w:val="20"/>
              </w:rPr>
            </w:pP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(8,</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2)</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4)</w:t>
            </w:r>
          </w:p>
        </w:tc>
      </w:tr>
      <w:tr>
        <w:tblPrEx>
          <w:tblCellMar>
            <w:top w:w="0" w:type="dxa"/>
            <w:left w:w="108" w:type="dxa"/>
            <w:bottom w:w="0" w:type="dxa"/>
            <w:right w:w="108" w:type="dxa"/>
          </w:tblCellMar>
        </w:tblPrEx>
        <w:trPr>
          <w:cantSplit/>
          <w:jc w:val="center"/>
        </w:trPr>
        <w:tc>
          <w:tcPr>
            <w:tcW w:w="0" w:type="auto"/>
            <w:vMerge w:val="continue"/>
            <w:tcBorders>
              <w:left w:val="single" w:color="auto" w:sz="4" w:space="0"/>
              <w:bottom w:val="single" w:color="auto" w:sz="4" w:space="0"/>
              <w:right w:val="single" w:color="auto" w:sz="4" w:space="0"/>
            </w:tcBorders>
            <w:vAlign w:val="center"/>
          </w:tcPr>
          <w:p>
            <w:pPr>
              <w:pStyle w:val="44"/>
              <w:rPr>
                <w:rFonts w:ascii="Times New Roman" w:hAnsi="Times New Roman"/>
                <w:color w:val="000000"/>
                <w:sz w:val="20"/>
              </w:rPr>
            </w:pP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(16,</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1)</w:t>
            </w:r>
          </w:p>
        </w:tc>
        <w:tc>
          <w:tcPr>
            <w:tcW w:w="2268" w:type="dxa"/>
            <w:tcBorders>
              <w:top w:val="single" w:color="auto" w:sz="4" w:space="0"/>
              <w:left w:val="nil"/>
              <w:bottom w:val="single" w:color="auto" w:sz="4" w:space="0"/>
              <w:right w:val="single" w:color="auto" w:sz="4" w:space="0"/>
            </w:tcBorders>
          </w:tcPr>
          <w:p>
            <w:pPr>
              <w:pStyle w:val="44"/>
              <w:rPr>
                <w:rFonts w:ascii="Times New Roman" w:hAnsi="Times New Roman"/>
                <w:b/>
                <w:color w:val="000000"/>
                <w:sz w:val="20"/>
              </w:rPr>
            </w:pPr>
            <w:r>
              <w:rPr>
                <w:rFonts w:ascii="Times New Roman" w:hAnsi="Times New Roman" w:eastAsia="MS Mincho"/>
                <w:color w:val="000000"/>
                <w:sz w:val="20"/>
                <w:lang w:eastAsia="ja-JP"/>
              </w:rPr>
              <w:t>(4,</w:t>
            </w:r>
            <w:r>
              <w:rPr>
                <w:rFonts w:hint="eastAsia" w:ascii="Times New Roman" w:hAnsi="Times New Roman" w:eastAsia="宋体"/>
                <w:color w:val="000000"/>
                <w:sz w:val="20"/>
                <w:lang w:val="en-US" w:eastAsia="zh-CN"/>
              </w:rPr>
              <w:t xml:space="preserve"> </w:t>
            </w:r>
            <w:r>
              <w:rPr>
                <w:rFonts w:ascii="Times New Roman" w:hAnsi="Times New Roman" w:eastAsia="MS Mincho"/>
                <w:color w:val="000000"/>
                <w:sz w:val="20"/>
                <w:lang w:eastAsia="ja-JP"/>
              </w:rPr>
              <w:t>1)</w:t>
            </w:r>
          </w:p>
        </w:tc>
      </w:tr>
    </w:tbl>
    <w:p>
      <w:pPr>
        <w:spacing w:before="200"/>
      </w:pPr>
      <w:r>
        <w:rPr>
          <w:rFonts w:hint="eastAsia"/>
        </w:rPr>
        <w:t>For Rel-19 CSI enhancement, up to 128 CSI-RS antenna ports are supported. Regarding Rel-19 Type-I/Type-II codebook refinement, the following configurations can be considered:</w:t>
      </w:r>
      <w:r>
        <w:rPr>
          <w:lang w:eastAsia="en-GB"/>
        </w:rPr>
        <w:t xml:space="preserve">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hAnsi="Cambria Math"/>
          <w:iCs/>
        </w:rPr>
        <w:t xml:space="preserve"> = </w:t>
      </w:r>
      <w:r>
        <w:rPr>
          <w:lang w:eastAsia="en-GB"/>
        </w:rPr>
        <w:t xml:space="preserve"> </w:t>
      </w:r>
      <w:r>
        <w:rPr>
          <w:rFonts w:hint="eastAsia"/>
        </w:rPr>
        <w:t xml:space="preserve">(8, 3), (8, 4), (8, 5), (8, 6), (8, 7), (8, 8), (12, 2), (12, 3), (12, 4), (16, 2), (16, 3), (16, 4), (24, 1), (24, 2), (32, 1), (32, 2), (64, 1). Based on the demand of real-field deployment, the following </w:t>
      </w:r>
      <w:r>
        <w:rPr>
          <w:lang w:eastAsia="en-GB"/>
        </w:rPr>
        <w:t>configurations</w:t>
      </w:r>
      <w:r>
        <w:rPr>
          <w:rFonts w:hint="eastAsia"/>
        </w:rPr>
        <w:t xml:space="preserve"> should be prioritized: </w:t>
      </w:r>
      <m:oMath>
        <m:d>
          <m:dPr>
            <m:ctrlPr>
              <w:rPr>
                <w:rFonts w:ascii="Cambria Math" w:hAnsi="Cambria Math"/>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rPr>
            </m:ctrlPr>
          </m:e>
        </m:d>
      </m:oMath>
      <w:r>
        <w:rPr>
          <w:rFonts w:hint="eastAsia" w:hAnsi="Cambria Math"/>
        </w:rPr>
        <w:t xml:space="preserve"> = (8, 8), (8, 6), (8, 4), (12, 4), (12, 2), (16, 4), (16, 2)</w:t>
      </w:r>
      <w:r>
        <w:rPr>
          <w:rFonts w:hint="eastAsia"/>
        </w:rPr>
        <w:t>.</w:t>
      </w:r>
    </w:p>
    <w:p>
      <w:pPr>
        <w:spacing w:after="120"/>
        <w:rPr>
          <w:i/>
          <w:iCs/>
        </w:rPr>
      </w:pPr>
      <w:r>
        <w:rPr>
          <w:b/>
          <w:bCs/>
          <w:i/>
          <w:iCs/>
        </w:rPr>
        <w:t xml:space="preserve">Proposal </w:t>
      </w:r>
      <w:r>
        <w:rPr>
          <w:rFonts w:hint="eastAsia"/>
          <w:b/>
          <w:bCs/>
          <w:i/>
          <w:iCs/>
        </w:rPr>
        <w:t>1:</w:t>
      </w:r>
      <w:r>
        <w:rPr>
          <w:rFonts w:hint="eastAsia"/>
          <w:i/>
          <w:iCs/>
        </w:rPr>
        <w:t xml:space="preserve"> Regarding Rel-19 Type-I/Type-II codebook </w:t>
      </w:r>
      <w:r>
        <w:rPr>
          <w:i/>
          <w:iCs/>
        </w:rPr>
        <w:t>refinement</w:t>
      </w:r>
      <w:r>
        <w:rPr>
          <w:rFonts w:hint="eastAsia"/>
          <w:i/>
          <w:iCs/>
        </w:rPr>
        <w:t xml:space="preserve">, support the following configurations of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i/>
          <w:iCs/>
        </w:rPr>
        <w:t xml:space="preserve"> when the number of antenna ports is larger than 32:</w:t>
      </w:r>
    </w:p>
    <w:p>
      <w:pPr>
        <w:numPr>
          <w:ilvl w:val="0"/>
          <w:numId w:val="10"/>
        </w:numPr>
        <w:snapToGrid w:val="0"/>
        <w:spacing w:before="120" w:beforeLines="50" w:after="120" w:afterLines="50" w:line="300" w:lineRule="auto"/>
        <w:rPr>
          <w:i/>
          <w:iCs/>
        </w:rPr>
      </w:pPr>
      <m:oMath>
        <m:d>
          <m:dPr>
            <m:ctrlPr>
              <w:rPr>
                <w:rFonts w:ascii="Cambria Math" w:hAnsi="Cambria Math"/>
                <w:i/>
                <w:iCs/>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hAnsi="Cambria Math"/>
          <w:i/>
          <w:iCs/>
        </w:rPr>
        <w:t xml:space="preserve"> = (8, 8), (8, 6), (8, 4), (12, 4), (12, 2), (16, 4), (16, 2)</w:t>
      </w:r>
      <w:r>
        <w:rPr>
          <w:rFonts w:hint="eastAsia"/>
          <w:i/>
          <w:iCs/>
        </w:rPr>
        <w:t>.</w:t>
      </w:r>
    </w:p>
    <w:p>
      <w:r>
        <w:rPr>
          <w:rFonts w:hint="eastAsia"/>
        </w:rPr>
        <w:t xml:space="preserve">As the number of antenna ports increases, the number of candidate Type-I/Type-II precoders would be linearly increased. Table 2 lists the number of candidate Type-I precoders for different configurations of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hAnsi="Cambria Math"/>
          <w:iCs/>
        </w:rPr>
        <w:t xml:space="preserve"> and </w:t>
      </w:r>
      <m:oMath>
        <m:d>
          <m:dPr>
            <m:ctrlPr>
              <w:rPr>
                <w:rFonts w:ascii="Cambria Math" w:hAnsi="Cambria Math"/>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rPr>
            </m:ctrlPr>
          </m:e>
        </m:d>
      </m:oMath>
      <w:r>
        <w:rPr>
          <w:rFonts w:hint="eastAsia" w:hAnsi="Cambria Math"/>
        </w:rPr>
        <w:t xml:space="preserve">. It is shown that, when the number of antenna ports is 128, the maximum number of candidate precoders would reach 8192. Such a large number of candidate precoders may lead to unacceptable computational complexity at UE side. From Table 2, it is also observed that, the candidate number of precoders can be significantly reduced with smaller oversampling factors </w:t>
      </w:r>
      <m:oMath>
        <m:d>
          <m:dPr>
            <m:ctrlPr>
              <w:rPr>
                <w:rFonts w:ascii="Cambria Math" w:hAnsi="Cambria Math"/>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rPr>
            </m:ctrlPr>
          </m:e>
        </m:d>
      </m:oMath>
      <w:r>
        <w:rPr>
          <w:rFonts w:hint="eastAsia" w:hAnsi="Cambria Math"/>
        </w:rPr>
        <w:t xml:space="preserve">. Considering that the candidate beams would become denser with larger number antenna ports, legacy oversampling factors </w:t>
      </w:r>
      <m:oMath>
        <m:d>
          <m:dPr>
            <m:ctrlPr>
              <w:rPr>
                <w:rFonts w:ascii="Cambria Math" w:hAnsi="Cambria Math"/>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rPr>
            </m:ctrlPr>
          </m:e>
        </m:d>
      </m:oMath>
      <w:r>
        <w:rPr>
          <w:rFonts w:hint="eastAsia" w:hAnsi="Cambria Math"/>
        </w:rPr>
        <w:t xml:space="preserve"> = (4, 4) may not be that necessary as before. </w:t>
      </w:r>
    </w:p>
    <w:p>
      <w:pPr>
        <w:jc w:val="center"/>
        <w:rPr>
          <w:b/>
          <w:bCs/>
        </w:rPr>
      </w:pPr>
      <w:r>
        <w:rPr>
          <w:b/>
          <w:bCs/>
          <w:color w:val="000000"/>
          <w:szCs w:val="20"/>
        </w:rPr>
        <w:t xml:space="preserve">Table </w:t>
      </w:r>
      <w:r>
        <w:rPr>
          <w:rFonts w:hint="eastAsia"/>
          <w:b/>
          <w:bCs/>
          <w:color w:val="000000"/>
          <w:szCs w:val="20"/>
        </w:rPr>
        <w:t>2</w:t>
      </w:r>
      <w:r>
        <w:rPr>
          <w:b/>
          <w:bCs/>
          <w:color w:val="000000"/>
          <w:szCs w:val="20"/>
        </w:rPr>
        <w:t xml:space="preserve"> </w:t>
      </w:r>
      <w:r>
        <w:rPr>
          <w:rFonts w:hint="eastAsia"/>
          <w:color w:val="000000"/>
          <w:szCs w:val="20"/>
        </w:rPr>
        <w:t xml:space="preserve">The number of candidate Type-I PMIs for different configurations of </w:t>
      </w:r>
      <m:oMath>
        <m:d>
          <m:dPr>
            <m:ctrlPr>
              <w:rPr>
                <w:rFonts w:ascii="Cambria Math" w:hAnsi="Cambria Math"/>
                <w:bCs/>
                <w:i/>
                <w:color w:val="000000"/>
              </w:rPr>
            </m:ctrlPr>
          </m:dPr>
          <m:e>
            <m:sSub>
              <m:sSubPr>
                <m:ctrlPr>
                  <w:rPr>
                    <w:rFonts w:ascii="Cambria Math" w:hAnsi="Cambria Math"/>
                    <w:bCs/>
                    <w:i/>
                    <w:color w:val="000000"/>
                  </w:rPr>
                </m:ctrlPr>
              </m:sSubPr>
              <m:e>
                <m:r>
                  <m:rPr/>
                  <w:rPr>
                    <w:rFonts w:ascii="Cambria Math" w:hAnsi="Cambria Math"/>
                    <w:color w:val="000000"/>
                  </w:rPr>
                  <m:t>N</m:t>
                </m:r>
                <m:ctrlPr>
                  <w:rPr>
                    <w:rFonts w:ascii="Cambria Math" w:hAnsi="Cambria Math"/>
                    <w:bCs/>
                    <w:i/>
                    <w:color w:val="000000"/>
                  </w:rPr>
                </m:ctrlPr>
              </m:e>
              <m:sub>
                <m:r>
                  <m:rPr/>
                  <w:rPr>
                    <w:rFonts w:ascii="Cambria Math" w:hAnsi="Cambria Math"/>
                    <w:color w:val="000000"/>
                  </w:rPr>
                  <m:t>1</m:t>
                </m:r>
                <m:ctrlPr>
                  <w:rPr>
                    <w:rFonts w:ascii="Cambria Math" w:hAnsi="Cambria Math"/>
                    <w:bCs/>
                    <w:i/>
                    <w:color w:val="000000"/>
                  </w:rPr>
                </m:ctrlPr>
              </m:sub>
            </m:sSub>
            <m:r>
              <m:rPr/>
              <w:rPr>
                <w:rFonts w:ascii="Cambria Math" w:hAnsi="Cambria Math"/>
                <w:color w:val="000000"/>
              </w:rPr>
              <m:t xml:space="preserve">, </m:t>
            </m:r>
            <m:sSub>
              <m:sSubPr>
                <m:ctrlPr>
                  <w:rPr>
                    <w:rFonts w:ascii="Cambria Math" w:hAnsi="Cambria Math"/>
                    <w:bCs/>
                    <w:i/>
                    <w:color w:val="000000"/>
                  </w:rPr>
                </m:ctrlPr>
              </m:sSubPr>
              <m:e>
                <m:r>
                  <m:rPr/>
                  <w:rPr>
                    <w:rFonts w:ascii="Cambria Math" w:hAnsi="Cambria Math"/>
                    <w:color w:val="000000"/>
                  </w:rPr>
                  <m:t>N</m:t>
                </m:r>
                <m:ctrlPr>
                  <w:rPr>
                    <w:rFonts w:ascii="Cambria Math" w:hAnsi="Cambria Math"/>
                    <w:bCs/>
                    <w:i/>
                    <w:color w:val="000000"/>
                  </w:rPr>
                </m:ctrlPr>
              </m:e>
              <m:sub>
                <m:r>
                  <m:rPr/>
                  <w:rPr>
                    <w:rFonts w:ascii="Cambria Math" w:hAnsi="Cambria Math"/>
                    <w:color w:val="000000"/>
                  </w:rPr>
                  <m:t>2</m:t>
                </m:r>
                <m:ctrlPr>
                  <w:rPr>
                    <w:rFonts w:ascii="Cambria Math" w:hAnsi="Cambria Math"/>
                    <w:bCs/>
                    <w:i/>
                    <w:color w:val="000000"/>
                  </w:rPr>
                </m:ctrlPr>
              </m:sub>
            </m:sSub>
            <m:ctrlPr>
              <w:rPr>
                <w:rFonts w:ascii="Cambria Math" w:hAnsi="Cambria Math"/>
                <w:bCs/>
                <w:i/>
                <w:color w:val="000000"/>
              </w:rPr>
            </m:ctrlPr>
          </m:e>
        </m:d>
      </m:oMath>
      <w:r>
        <w:rPr>
          <w:rFonts w:hint="eastAsia" w:hAnsi="Cambria Math"/>
          <w:bCs/>
          <w:color w:val="000000"/>
        </w:rPr>
        <w:t xml:space="preserve"> and </w:t>
      </w:r>
      <m:oMath>
        <m:d>
          <m:dPr>
            <m:ctrlPr>
              <w:rPr>
                <w:rFonts w:ascii="Cambria Math" w:hAnsi="Cambria Math"/>
                <w:bCs/>
                <w:i/>
                <w:color w:val="000000"/>
              </w:rPr>
            </m:ctrlPr>
          </m:dPr>
          <m:e>
            <m:sSub>
              <m:sSubPr>
                <m:ctrlPr>
                  <w:rPr>
                    <w:rFonts w:ascii="Cambria Math" w:hAnsi="Cambria Math"/>
                    <w:bCs/>
                    <w:i/>
                    <w:color w:val="000000"/>
                  </w:rPr>
                </m:ctrlPr>
              </m:sSubPr>
              <m:e>
                <m:r>
                  <m:rPr/>
                  <w:rPr>
                    <w:rFonts w:ascii="Cambria Math" w:hAnsi="Cambria Math"/>
                    <w:color w:val="000000"/>
                  </w:rPr>
                  <m:t>O</m:t>
                </m:r>
                <m:ctrlPr>
                  <w:rPr>
                    <w:rFonts w:ascii="Cambria Math" w:hAnsi="Cambria Math"/>
                    <w:bCs/>
                    <w:i/>
                    <w:color w:val="000000"/>
                  </w:rPr>
                </m:ctrlPr>
              </m:e>
              <m:sub>
                <m:r>
                  <m:rPr/>
                  <w:rPr>
                    <w:rFonts w:ascii="Cambria Math" w:hAnsi="Cambria Math"/>
                    <w:color w:val="000000"/>
                  </w:rPr>
                  <m:t>1</m:t>
                </m:r>
                <m:ctrlPr>
                  <w:rPr>
                    <w:rFonts w:ascii="Cambria Math" w:hAnsi="Cambria Math"/>
                    <w:bCs/>
                    <w:i/>
                    <w:color w:val="000000"/>
                  </w:rPr>
                </m:ctrlPr>
              </m:sub>
            </m:sSub>
            <m:r>
              <m:rPr/>
              <w:rPr>
                <w:rFonts w:ascii="Cambria Math" w:hAnsi="Cambria Math"/>
                <w:color w:val="000000"/>
              </w:rPr>
              <m:t xml:space="preserve">, </m:t>
            </m:r>
            <m:sSub>
              <m:sSubPr>
                <m:ctrlPr>
                  <w:rPr>
                    <w:rFonts w:ascii="Cambria Math" w:hAnsi="Cambria Math"/>
                    <w:bCs/>
                    <w:i/>
                    <w:color w:val="000000"/>
                  </w:rPr>
                </m:ctrlPr>
              </m:sSubPr>
              <m:e>
                <m:r>
                  <m:rPr/>
                  <w:rPr>
                    <w:rFonts w:ascii="Cambria Math" w:hAnsi="Cambria Math"/>
                    <w:color w:val="000000"/>
                  </w:rPr>
                  <m:t>O</m:t>
                </m:r>
                <m:ctrlPr>
                  <w:rPr>
                    <w:rFonts w:ascii="Cambria Math" w:hAnsi="Cambria Math"/>
                    <w:bCs/>
                    <w:i/>
                    <w:color w:val="000000"/>
                  </w:rPr>
                </m:ctrlPr>
              </m:e>
              <m:sub>
                <m:r>
                  <m:rPr/>
                  <w:rPr>
                    <w:rFonts w:ascii="Cambria Math" w:hAnsi="Cambria Math"/>
                    <w:color w:val="000000"/>
                  </w:rPr>
                  <m:t>2</m:t>
                </m:r>
                <m:ctrlPr>
                  <w:rPr>
                    <w:rFonts w:ascii="Cambria Math" w:hAnsi="Cambria Math"/>
                    <w:bCs/>
                    <w:i/>
                    <w:color w:val="000000"/>
                  </w:rPr>
                </m:ctrlPr>
              </m:sub>
            </m:sSub>
            <m:ctrlPr>
              <w:rPr>
                <w:rFonts w:ascii="Cambria Math" w:hAnsi="Cambria Math"/>
                <w:bCs/>
                <w:i/>
                <w:color w:val="000000"/>
              </w:rPr>
            </m:ctrlPr>
          </m:e>
        </m:d>
      </m:oMath>
    </w:p>
    <w:tbl>
      <w:tblPr>
        <w:tblStyle w:val="24"/>
        <w:tblW w:w="7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601"/>
        <w:gridCol w:w="601"/>
        <w:gridCol w:w="601"/>
        <w:gridCol w:w="999"/>
        <w:gridCol w:w="1112"/>
        <w:gridCol w:w="1112"/>
        <w:gridCol w:w="1112"/>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601" w:type="dxa"/>
            <w:shd w:val="clear" w:color="auto" w:fill="BEBEBE" w:themeFill="background1" w:themeFillShade="BF"/>
            <w:noWrap/>
            <w:vAlign w:val="center"/>
          </w:tcPr>
          <w:p>
            <w:pPr>
              <w:spacing w:after="0" w:line="240" w:lineRule="auto"/>
              <w:jc w:val="center"/>
              <w:textAlignment w:val="bottom"/>
              <w:rPr>
                <w:szCs w:val="20"/>
              </w:rPr>
            </w:pPr>
            <m:oMathPara>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w:rPr>
                        <w:rFonts w:ascii="Cambria Math" w:hAnsi="Cambria Math"/>
                      </w:rPr>
                      <m:t>1</m:t>
                    </m:r>
                    <m:ctrlPr>
                      <w:rPr>
                        <w:rFonts w:ascii="Cambria Math" w:hAnsi="Cambria Math"/>
                        <w:bCs/>
                        <w:i/>
                      </w:rPr>
                    </m:ctrlPr>
                  </m:sub>
                </m:sSub>
              </m:oMath>
            </m:oMathPara>
          </w:p>
        </w:tc>
        <w:tc>
          <w:tcPr>
            <w:tcW w:w="601" w:type="dxa"/>
            <w:shd w:val="clear" w:color="auto" w:fill="BEBEBE" w:themeFill="background1" w:themeFillShade="BF"/>
            <w:noWrap/>
            <w:vAlign w:val="center"/>
          </w:tcPr>
          <w:p>
            <w:pPr>
              <w:spacing w:after="0" w:line="240" w:lineRule="auto"/>
              <w:jc w:val="center"/>
              <w:textAlignment w:val="bottom"/>
              <w:rPr>
                <w:szCs w:val="20"/>
              </w:rPr>
            </w:pPr>
            <m:oMathPara>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w:rPr>
                        <w:rFonts w:ascii="Cambria Math" w:hAnsi="Cambria Math"/>
                      </w:rPr>
                      <m:t>2</m:t>
                    </m:r>
                    <m:ctrlPr>
                      <w:rPr>
                        <w:rFonts w:ascii="Cambria Math" w:hAnsi="Cambria Math"/>
                        <w:bCs/>
                        <w:i/>
                      </w:rPr>
                    </m:ctrlPr>
                  </m:sub>
                </m:sSub>
              </m:oMath>
            </m:oMathPara>
          </w:p>
        </w:tc>
        <w:tc>
          <w:tcPr>
            <w:tcW w:w="601" w:type="dxa"/>
            <w:shd w:val="clear" w:color="auto" w:fill="BEBEBE" w:themeFill="background1" w:themeFillShade="BF"/>
            <w:noWrap/>
            <w:vAlign w:val="center"/>
          </w:tcPr>
          <w:p>
            <w:pPr>
              <w:spacing w:after="0" w:line="240" w:lineRule="auto"/>
              <w:jc w:val="center"/>
              <w:textAlignment w:val="bottom"/>
              <w:rPr>
                <w:szCs w:val="20"/>
              </w:rPr>
            </w:pPr>
            <m:oMathPara>
              <m:oMath>
                <m:sSub>
                  <m:sSubPr>
                    <m:ctrlPr>
                      <w:rPr>
                        <w:rFonts w:ascii="Cambria Math" w:hAnsi="Cambria Math"/>
                        <w:bCs/>
                        <w:i/>
                      </w:rPr>
                    </m:ctrlPr>
                  </m:sSubPr>
                  <m:e>
                    <m:r>
                      <m:rPr/>
                      <w:rPr>
                        <w:rFonts w:ascii="Cambria Math" w:hAnsi="Cambria Math"/>
                      </w:rPr>
                      <m:t>O</m:t>
                    </m:r>
                    <m:ctrlPr>
                      <w:rPr>
                        <w:rFonts w:ascii="Cambria Math" w:hAnsi="Cambria Math"/>
                        <w:bCs/>
                        <w:i/>
                      </w:rPr>
                    </m:ctrlPr>
                  </m:e>
                  <m:sub>
                    <m:r>
                      <m:rPr/>
                      <w:rPr>
                        <w:rFonts w:ascii="Cambria Math" w:hAnsi="Cambria Math"/>
                      </w:rPr>
                      <m:t>1</m:t>
                    </m:r>
                    <m:ctrlPr>
                      <w:rPr>
                        <w:rFonts w:ascii="Cambria Math" w:hAnsi="Cambria Math"/>
                        <w:bCs/>
                        <w:i/>
                      </w:rPr>
                    </m:ctrlPr>
                  </m:sub>
                </m:sSub>
              </m:oMath>
            </m:oMathPara>
          </w:p>
        </w:tc>
        <w:tc>
          <w:tcPr>
            <w:tcW w:w="601" w:type="dxa"/>
            <w:shd w:val="clear" w:color="auto" w:fill="BEBEBE" w:themeFill="background1" w:themeFillShade="BF"/>
            <w:noWrap/>
            <w:vAlign w:val="center"/>
          </w:tcPr>
          <w:p>
            <w:pPr>
              <w:spacing w:after="0" w:line="240" w:lineRule="auto"/>
              <w:jc w:val="center"/>
              <w:textAlignment w:val="bottom"/>
              <w:rPr>
                <w:szCs w:val="20"/>
              </w:rPr>
            </w:pPr>
            <m:oMathPara>
              <m:oMath>
                <m:sSub>
                  <m:sSubPr>
                    <m:ctrlPr>
                      <w:rPr>
                        <w:rFonts w:ascii="Cambria Math" w:hAnsi="Cambria Math"/>
                        <w:bCs/>
                        <w:i/>
                      </w:rPr>
                    </m:ctrlPr>
                  </m:sSubPr>
                  <m:e>
                    <m:r>
                      <m:rPr/>
                      <w:rPr>
                        <w:rFonts w:ascii="Cambria Math" w:hAnsi="Cambria Math"/>
                      </w:rPr>
                      <m:t>O</m:t>
                    </m:r>
                    <m:ctrlPr>
                      <w:rPr>
                        <w:rFonts w:ascii="Cambria Math" w:hAnsi="Cambria Math"/>
                        <w:bCs/>
                        <w:i/>
                      </w:rPr>
                    </m:ctrlPr>
                  </m:e>
                  <m:sub>
                    <m:r>
                      <m:rPr/>
                      <w:rPr>
                        <w:rFonts w:ascii="Cambria Math" w:hAnsi="Cambria Math"/>
                      </w:rPr>
                      <m:t>2</m:t>
                    </m:r>
                    <m:ctrlPr>
                      <w:rPr>
                        <w:rFonts w:ascii="Cambria Math" w:hAnsi="Cambria Math"/>
                        <w:bCs/>
                        <w:i/>
                      </w:rPr>
                    </m:ctrlPr>
                  </m:sub>
                </m:sSub>
              </m:oMath>
            </m:oMathPara>
          </w:p>
        </w:tc>
        <w:tc>
          <w:tcPr>
            <w:tcW w:w="999" w:type="dxa"/>
            <w:shd w:val="clear" w:color="auto" w:fill="BEBEBE" w:themeFill="background1" w:themeFillShade="BF"/>
            <w:noWrap/>
            <w:vAlign w:val="center"/>
          </w:tcPr>
          <w:p>
            <w:pPr>
              <w:spacing w:after="0" w:line="240" w:lineRule="auto"/>
              <w:jc w:val="center"/>
              <w:textAlignment w:val="bottom"/>
              <w:rPr>
                <w:szCs w:val="20"/>
              </w:rPr>
            </w:pPr>
            <w:r>
              <w:rPr>
                <w:rFonts w:hint="eastAsia"/>
                <w:szCs w:val="20"/>
                <w:lang w:bidi="ar"/>
              </w:rPr>
              <w:t># of ports</w:t>
            </w:r>
          </w:p>
        </w:tc>
        <w:tc>
          <w:tcPr>
            <w:tcW w:w="1112" w:type="dxa"/>
            <w:shd w:val="clear" w:color="auto" w:fill="BEBEBE" w:themeFill="background1" w:themeFillShade="BF"/>
            <w:noWrap/>
            <w:vAlign w:val="center"/>
          </w:tcPr>
          <w:p>
            <w:pPr>
              <w:spacing w:after="0" w:line="240" w:lineRule="auto"/>
              <w:jc w:val="center"/>
              <w:textAlignment w:val="bottom"/>
              <w:rPr>
                <w:szCs w:val="20"/>
              </w:rPr>
            </w:pPr>
            <w:r>
              <w:rPr>
                <w:rFonts w:hint="eastAsia"/>
                <w:szCs w:val="20"/>
                <w:lang w:bidi="ar"/>
              </w:rPr>
              <w:t># of PMIs</w:t>
            </w:r>
            <w:r>
              <w:rPr>
                <w:szCs w:val="20"/>
                <w:lang w:bidi="ar"/>
              </w:rPr>
              <w:t xml:space="preserve"> </w:t>
            </w:r>
            <w:r>
              <w:rPr>
                <w:rFonts w:hint="eastAsia"/>
                <w:szCs w:val="20"/>
                <w:lang w:bidi="ar"/>
              </w:rPr>
              <w:t>(</w:t>
            </w:r>
            <w:r>
              <w:rPr>
                <w:szCs w:val="20"/>
                <w:lang w:bidi="ar"/>
              </w:rPr>
              <w:t>rank=1</w:t>
            </w:r>
            <w:r>
              <w:rPr>
                <w:rFonts w:hint="eastAsia"/>
                <w:szCs w:val="20"/>
                <w:lang w:bidi="ar"/>
              </w:rPr>
              <w:t>)</w:t>
            </w:r>
          </w:p>
        </w:tc>
        <w:tc>
          <w:tcPr>
            <w:tcW w:w="1112" w:type="dxa"/>
            <w:shd w:val="clear" w:color="auto" w:fill="BEBEBE" w:themeFill="background1" w:themeFillShade="BF"/>
            <w:noWrap/>
            <w:vAlign w:val="center"/>
          </w:tcPr>
          <w:p>
            <w:pPr>
              <w:spacing w:after="0" w:line="240" w:lineRule="auto"/>
              <w:jc w:val="center"/>
              <w:textAlignment w:val="bottom"/>
              <w:rPr>
                <w:szCs w:val="20"/>
              </w:rPr>
            </w:pPr>
            <w:r>
              <w:rPr>
                <w:rFonts w:hint="eastAsia"/>
                <w:szCs w:val="20"/>
                <w:lang w:bidi="ar"/>
              </w:rPr>
              <w:t># of PMIs</w:t>
            </w:r>
            <w:r>
              <w:rPr>
                <w:szCs w:val="20"/>
                <w:lang w:bidi="ar"/>
              </w:rPr>
              <w:t xml:space="preserve"> </w:t>
            </w:r>
            <w:r>
              <w:rPr>
                <w:rFonts w:hint="eastAsia"/>
                <w:szCs w:val="20"/>
                <w:lang w:bidi="ar"/>
              </w:rPr>
              <w:t>(</w:t>
            </w:r>
            <w:r>
              <w:rPr>
                <w:szCs w:val="20"/>
                <w:lang w:bidi="ar"/>
              </w:rPr>
              <w:t>rank=</w:t>
            </w:r>
            <w:r>
              <w:rPr>
                <w:rFonts w:hint="eastAsia"/>
                <w:szCs w:val="20"/>
                <w:lang w:bidi="ar"/>
              </w:rPr>
              <w:t>2)</w:t>
            </w:r>
          </w:p>
        </w:tc>
        <w:tc>
          <w:tcPr>
            <w:tcW w:w="1112" w:type="dxa"/>
            <w:shd w:val="clear" w:color="auto" w:fill="BEBEBE" w:themeFill="background1" w:themeFillShade="BF"/>
            <w:noWrap/>
            <w:vAlign w:val="center"/>
          </w:tcPr>
          <w:p>
            <w:pPr>
              <w:spacing w:after="0" w:line="240" w:lineRule="auto"/>
              <w:jc w:val="center"/>
              <w:textAlignment w:val="bottom"/>
              <w:rPr>
                <w:szCs w:val="20"/>
              </w:rPr>
            </w:pPr>
            <w:r>
              <w:rPr>
                <w:rFonts w:hint="eastAsia"/>
                <w:szCs w:val="20"/>
                <w:lang w:bidi="ar"/>
              </w:rPr>
              <w:t># of PMIs</w:t>
            </w:r>
            <w:r>
              <w:rPr>
                <w:szCs w:val="20"/>
                <w:lang w:bidi="ar"/>
              </w:rPr>
              <w:t xml:space="preserve"> </w:t>
            </w:r>
            <w:r>
              <w:rPr>
                <w:rFonts w:hint="eastAsia"/>
                <w:szCs w:val="20"/>
                <w:lang w:bidi="ar"/>
              </w:rPr>
              <w:t>(</w:t>
            </w:r>
            <w:r>
              <w:rPr>
                <w:szCs w:val="20"/>
                <w:lang w:bidi="ar"/>
              </w:rPr>
              <w:t>rank=</w:t>
            </w:r>
            <w:r>
              <w:rPr>
                <w:rFonts w:hint="eastAsia"/>
                <w:szCs w:val="20"/>
                <w:lang w:bidi="ar"/>
              </w:rPr>
              <w:t>3)</w:t>
            </w:r>
          </w:p>
        </w:tc>
        <w:tc>
          <w:tcPr>
            <w:tcW w:w="1115" w:type="dxa"/>
            <w:shd w:val="clear" w:color="auto" w:fill="BEBEBE" w:themeFill="background1" w:themeFillShade="BF"/>
            <w:noWrap/>
            <w:vAlign w:val="center"/>
          </w:tcPr>
          <w:p>
            <w:pPr>
              <w:spacing w:after="0" w:line="240" w:lineRule="auto"/>
              <w:jc w:val="center"/>
              <w:textAlignment w:val="bottom"/>
              <w:rPr>
                <w:szCs w:val="20"/>
              </w:rPr>
            </w:pPr>
            <w:r>
              <w:rPr>
                <w:rFonts w:hint="eastAsia"/>
                <w:szCs w:val="20"/>
                <w:lang w:bidi="ar"/>
              </w:rPr>
              <w:t># of PMIs</w:t>
            </w:r>
            <w:r>
              <w:rPr>
                <w:szCs w:val="20"/>
                <w:lang w:bidi="ar"/>
              </w:rPr>
              <w:t xml:space="preserve"> </w:t>
            </w:r>
            <w:r>
              <w:rPr>
                <w:rFonts w:hint="eastAsia"/>
                <w:szCs w:val="20"/>
                <w:lang w:bidi="ar"/>
              </w:rPr>
              <w:t>(</w:t>
            </w:r>
            <w:r>
              <w:rPr>
                <w:szCs w:val="20"/>
                <w:lang w:bidi="ar"/>
              </w:rPr>
              <w:t>rank=</w:t>
            </w:r>
            <w:r>
              <w:rPr>
                <w:rFonts w:hint="eastAsia"/>
                <w:szCs w:val="20"/>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12</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lang w:bidi="ar"/>
              </w:rPr>
              <w:t>48</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384</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768</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384</w:t>
            </w:r>
          </w:p>
        </w:tc>
        <w:tc>
          <w:tcPr>
            <w:tcW w:w="1115" w:type="dxa"/>
            <w:shd w:val="clear" w:color="auto" w:fill="auto"/>
            <w:noWrap/>
            <w:vAlign w:val="center"/>
          </w:tcPr>
          <w:p>
            <w:pPr>
              <w:spacing w:after="0" w:line="240" w:lineRule="auto"/>
              <w:jc w:val="center"/>
              <w:textAlignment w:val="bottom"/>
              <w:rPr>
                <w:color w:val="000000"/>
                <w:szCs w:val="20"/>
              </w:rPr>
            </w:pPr>
            <w:r>
              <w:rPr>
                <w:color w:val="000000"/>
                <w:szCs w:val="20"/>
                <w:lang w:bidi="ar"/>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lang w:bidi="ar"/>
              </w:rPr>
              <w:t>64</w:t>
            </w:r>
          </w:p>
        </w:tc>
        <w:tc>
          <w:tcPr>
            <w:tcW w:w="1112" w:type="dxa"/>
            <w:shd w:val="clear" w:color="auto" w:fill="auto"/>
            <w:noWrap/>
            <w:vAlign w:val="center"/>
          </w:tcPr>
          <w:p>
            <w:pPr>
              <w:spacing w:after="0" w:line="240" w:lineRule="auto"/>
              <w:jc w:val="center"/>
              <w:textAlignment w:val="bottom"/>
              <w:rPr>
                <w:color w:val="000000"/>
                <w:szCs w:val="20"/>
                <w:lang w:bidi="ar"/>
              </w:rPr>
            </w:pPr>
            <w:r>
              <w:rPr>
                <w:color w:val="000000"/>
                <w:szCs w:val="20"/>
                <w:lang w:bidi="ar"/>
              </w:rPr>
              <w:t>512</w:t>
            </w:r>
          </w:p>
        </w:tc>
        <w:tc>
          <w:tcPr>
            <w:tcW w:w="1112" w:type="dxa"/>
            <w:shd w:val="clear" w:color="auto" w:fill="auto"/>
            <w:noWrap/>
            <w:vAlign w:val="center"/>
          </w:tcPr>
          <w:p>
            <w:pPr>
              <w:spacing w:after="0" w:line="240" w:lineRule="auto"/>
              <w:jc w:val="center"/>
              <w:textAlignment w:val="bottom"/>
              <w:rPr>
                <w:color w:val="000000"/>
                <w:szCs w:val="20"/>
                <w:lang w:bidi="ar"/>
              </w:rPr>
            </w:pPr>
            <w:r>
              <w:rPr>
                <w:color w:val="000000"/>
                <w:szCs w:val="20"/>
                <w:lang w:bidi="ar"/>
              </w:rPr>
              <w:t>1024</w:t>
            </w:r>
          </w:p>
        </w:tc>
        <w:tc>
          <w:tcPr>
            <w:tcW w:w="1112" w:type="dxa"/>
            <w:shd w:val="clear" w:color="auto" w:fill="auto"/>
            <w:noWrap/>
            <w:vAlign w:val="center"/>
          </w:tcPr>
          <w:p>
            <w:pPr>
              <w:spacing w:after="0" w:line="240" w:lineRule="auto"/>
              <w:jc w:val="center"/>
              <w:textAlignment w:val="bottom"/>
              <w:rPr>
                <w:color w:val="000000"/>
                <w:szCs w:val="20"/>
                <w:lang w:bidi="ar"/>
              </w:rPr>
            </w:pPr>
            <w:r>
              <w:rPr>
                <w:color w:val="000000"/>
                <w:szCs w:val="20"/>
                <w:lang w:bidi="ar"/>
              </w:rPr>
              <w:t>512</w:t>
            </w:r>
          </w:p>
        </w:tc>
        <w:tc>
          <w:tcPr>
            <w:tcW w:w="1115" w:type="dxa"/>
            <w:shd w:val="clear" w:color="auto" w:fill="auto"/>
            <w:noWrap/>
            <w:vAlign w:val="center"/>
          </w:tcPr>
          <w:p>
            <w:pPr>
              <w:spacing w:after="0" w:line="240" w:lineRule="auto"/>
              <w:jc w:val="center"/>
              <w:textAlignment w:val="bottom"/>
              <w:rPr>
                <w:color w:val="000000"/>
                <w:szCs w:val="20"/>
                <w:lang w:bidi="ar"/>
              </w:rPr>
            </w:pPr>
            <w:r>
              <w:rPr>
                <w:color w:val="000000"/>
                <w:szCs w:val="20"/>
                <w:lang w:bidi="ar"/>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rPr>
              <w:t>72</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576</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1152</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576</w:t>
            </w:r>
          </w:p>
        </w:tc>
        <w:tc>
          <w:tcPr>
            <w:tcW w:w="1115" w:type="dxa"/>
            <w:shd w:val="clear" w:color="auto" w:fill="auto"/>
            <w:noWrap/>
            <w:vAlign w:val="center"/>
          </w:tcPr>
          <w:p>
            <w:pPr>
              <w:spacing w:after="0" w:line="240" w:lineRule="auto"/>
              <w:jc w:val="center"/>
              <w:textAlignment w:val="bottom"/>
              <w:rPr>
                <w:color w:val="000000"/>
                <w:szCs w:val="20"/>
              </w:rPr>
            </w:pPr>
            <w:r>
              <w:rPr>
                <w:color w:val="000000"/>
                <w:szCs w:val="20"/>
                <w:lang w:bidi="ar"/>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rPr>
              <w:t>96</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768</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1536</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768</w:t>
            </w:r>
          </w:p>
        </w:tc>
        <w:tc>
          <w:tcPr>
            <w:tcW w:w="1115" w:type="dxa"/>
            <w:shd w:val="clear" w:color="auto" w:fill="auto"/>
            <w:noWrap/>
            <w:vAlign w:val="center"/>
          </w:tcPr>
          <w:p>
            <w:pPr>
              <w:spacing w:after="0" w:line="240" w:lineRule="auto"/>
              <w:jc w:val="center"/>
              <w:textAlignment w:val="bottom"/>
              <w:rPr>
                <w:color w:val="000000"/>
                <w:szCs w:val="20"/>
              </w:rPr>
            </w:pPr>
            <w:r>
              <w:rPr>
                <w:color w:val="000000"/>
                <w:szCs w:val="20"/>
                <w:lang w:bidi="ar"/>
              </w:rPr>
              <w:t>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rPr>
              <w:t>128</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1024</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2048</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1024</w:t>
            </w:r>
          </w:p>
        </w:tc>
        <w:tc>
          <w:tcPr>
            <w:tcW w:w="1115" w:type="dxa"/>
            <w:shd w:val="clear" w:color="auto" w:fill="auto"/>
            <w:noWrap/>
            <w:vAlign w:val="center"/>
          </w:tcPr>
          <w:p>
            <w:pPr>
              <w:spacing w:after="0" w:line="240" w:lineRule="auto"/>
              <w:jc w:val="center"/>
              <w:textAlignment w:val="bottom"/>
              <w:rPr>
                <w:color w:val="000000"/>
                <w:szCs w:val="20"/>
              </w:rPr>
            </w:pPr>
            <w:r>
              <w:rPr>
                <w:color w:val="000000"/>
                <w:szCs w:val="20"/>
                <w:lang w:bidi="ar"/>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rPr>
              <w:t>12</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2</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lang w:bidi="ar"/>
              </w:rPr>
              <w:t>48</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1536</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3072</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1536</w:t>
            </w:r>
          </w:p>
        </w:tc>
        <w:tc>
          <w:tcPr>
            <w:tcW w:w="1115" w:type="dxa"/>
            <w:shd w:val="clear" w:color="auto" w:fill="auto"/>
            <w:noWrap/>
            <w:vAlign w:val="center"/>
          </w:tcPr>
          <w:p>
            <w:pPr>
              <w:spacing w:after="0" w:line="240" w:lineRule="auto"/>
              <w:jc w:val="center"/>
              <w:textAlignment w:val="bottom"/>
              <w:rPr>
                <w:color w:val="000000"/>
                <w:szCs w:val="20"/>
              </w:rPr>
            </w:pPr>
            <w:r>
              <w:rPr>
                <w:color w:val="000000"/>
                <w:szCs w:val="20"/>
                <w:lang w:bidi="ar"/>
              </w:rPr>
              <w:t>1536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lang w:bidi="ar"/>
              </w:rPr>
              <w:t>64</w:t>
            </w:r>
          </w:p>
        </w:tc>
        <w:tc>
          <w:tcPr>
            <w:tcW w:w="1112" w:type="dxa"/>
            <w:shd w:val="clear" w:color="auto" w:fill="auto"/>
            <w:noWrap/>
            <w:vAlign w:val="center"/>
          </w:tcPr>
          <w:p>
            <w:pPr>
              <w:spacing w:after="0" w:line="240" w:lineRule="auto"/>
              <w:jc w:val="center"/>
              <w:textAlignment w:val="bottom"/>
              <w:rPr>
                <w:color w:val="000000"/>
                <w:szCs w:val="20"/>
                <w:lang w:bidi="ar"/>
              </w:rPr>
            </w:pPr>
            <w:r>
              <w:rPr>
                <w:color w:val="000000"/>
                <w:szCs w:val="20"/>
                <w:lang w:bidi="ar"/>
              </w:rPr>
              <w:t>2048</w:t>
            </w:r>
          </w:p>
        </w:tc>
        <w:tc>
          <w:tcPr>
            <w:tcW w:w="1112" w:type="dxa"/>
            <w:shd w:val="clear" w:color="auto" w:fill="auto"/>
            <w:noWrap/>
            <w:vAlign w:val="center"/>
          </w:tcPr>
          <w:p>
            <w:pPr>
              <w:spacing w:after="0" w:line="240" w:lineRule="auto"/>
              <w:jc w:val="center"/>
              <w:textAlignment w:val="bottom"/>
              <w:rPr>
                <w:color w:val="000000"/>
                <w:szCs w:val="20"/>
                <w:lang w:bidi="ar"/>
              </w:rPr>
            </w:pPr>
            <w:r>
              <w:rPr>
                <w:color w:val="000000"/>
                <w:szCs w:val="20"/>
                <w:lang w:bidi="ar"/>
              </w:rPr>
              <w:t>4096</w:t>
            </w:r>
          </w:p>
        </w:tc>
        <w:tc>
          <w:tcPr>
            <w:tcW w:w="1112" w:type="dxa"/>
            <w:shd w:val="clear" w:color="auto" w:fill="auto"/>
            <w:noWrap/>
            <w:vAlign w:val="center"/>
          </w:tcPr>
          <w:p>
            <w:pPr>
              <w:spacing w:after="0" w:line="240" w:lineRule="auto"/>
              <w:jc w:val="center"/>
              <w:textAlignment w:val="bottom"/>
              <w:rPr>
                <w:color w:val="000000"/>
                <w:szCs w:val="20"/>
                <w:lang w:bidi="ar"/>
              </w:rPr>
            </w:pPr>
            <w:r>
              <w:rPr>
                <w:color w:val="000000"/>
                <w:szCs w:val="20"/>
                <w:lang w:bidi="ar"/>
              </w:rPr>
              <w:t>2048</w:t>
            </w:r>
          </w:p>
        </w:tc>
        <w:tc>
          <w:tcPr>
            <w:tcW w:w="1115" w:type="dxa"/>
            <w:shd w:val="clear" w:color="auto" w:fill="auto"/>
            <w:noWrap/>
            <w:vAlign w:val="center"/>
          </w:tcPr>
          <w:p>
            <w:pPr>
              <w:spacing w:after="0" w:line="240" w:lineRule="auto"/>
              <w:jc w:val="center"/>
              <w:textAlignment w:val="bottom"/>
              <w:rPr>
                <w:color w:val="000000"/>
                <w:szCs w:val="20"/>
                <w:lang w:bidi="ar"/>
              </w:rPr>
            </w:pPr>
            <w:r>
              <w:rPr>
                <w:color w:val="000000"/>
                <w:szCs w:val="20"/>
                <w:lang w:bidi="ar"/>
              </w:rPr>
              <w:t>2048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rPr>
              <w:t>72</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2304</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4608</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2304</w:t>
            </w:r>
          </w:p>
        </w:tc>
        <w:tc>
          <w:tcPr>
            <w:tcW w:w="1115" w:type="dxa"/>
            <w:shd w:val="clear" w:color="auto" w:fill="auto"/>
            <w:noWrap/>
            <w:vAlign w:val="center"/>
          </w:tcPr>
          <w:p>
            <w:pPr>
              <w:spacing w:after="0" w:line="240" w:lineRule="auto"/>
              <w:jc w:val="center"/>
              <w:textAlignment w:val="bottom"/>
              <w:rPr>
                <w:color w:val="000000"/>
                <w:szCs w:val="20"/>
              </w:rPr>
            </w:pPr>
            <w:r>
              <w:rPr>
                <w:color w:val="000000"/>
                <w:szCs w:val="20"/>
                <w:lang w:bidi="ar"/>
              </w:rPr>
              <w:t>2304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6</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rPr>
              <w:t>96</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3072</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6144</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3072</w:t>
            </w:r>
          </w:p>
        </w:tc>
        <w:tc>
          <w:tcPr>
            <w:tcW w:w="1115" w:type="dxa"/>
            <w:shd w:val="clear" w:color="auto" w:fill="auto"/>
            <w:noWrap/>
            <w:vAlign w:val="center"/>
          </w:tcPr>
          <w:p>
            <w:pPr>
              <w:spacing w:after="0" w:line="240" w:lineRule="auto"/>
              <w:jc w:val="center"/>
              <w:textAlignment w:val="bottom"/>
              <w:rPr>
                <w:color w:val="000000"/>
                <w:szCs w:val="20"/>
              </w:rPr>
            </w:pPr>
            <w:r>
              <w:rPr>
                <w:color w:val="000000"/>
                <w:szCs w:val="20"/>
                <w:lang w:bidi="ar"/>
              </w:rPr>
              <w:t>3072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8</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601" w:type="dxa"/>
            <w:shd w:val="clear" w:color="auto" w:fill="auto"/>
            <w:noWrap/>
            <w:vAlign w:val="center"/>
          </w:tcPr>
          <w:p>
            <w:pPr>
              <w:spacing w:after="0" w:line="240" w:lineRule="auto"/>
              <w:jc w:val="center"/>
              <w:textAlignment w:val="bottom"/>
              <w:rPr>
                <w:color w:val="000000"/>
                <w:szCs w:val="20"/>
              </w:rPr>
            </w:pPr>
            <w:r>
              <w:rPr>
                <w:color w:val="000000"/>
                <w:szCs w:val="20"/>
                <w:lang w:bidi="ar"/>
              </w:rPr>
              <w:t>4</w:t>
            </w:r>
          </w:p>
        </w:tc>
        <w:tc>
          <w:tcPr>
            <w:tcW w:w="999" w:type="dxa"/>
            <w:shd w:val="clear" w:color="auto" w:fill="auto"/>
            <w:noWrap/>
            <w:vAlign w:val="center"/>
          </w:tcPr>
          <w:p>
            <w:pPr>
              <w:spacing w:after="0" w:line="240" w:lineRule="auto"/>
              <w:jc w:val="center"/>
              <w:textAlignment w:val="bottom"/>
              <w:rPr>
                <w:color w:val="000000"/>
                <w:szCs w:val="20"/>
              </w:rPr>
            </w:pPr>
            <w:r>
              <w:rPr>
                <w:color w:val="000000"/>
                <w:szCs w:val="20"/>
              </w:rPr>
              <w:t>128</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4096</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8192</w:t>
            </w:r>
          </w:p>
        </w:tc>
        <w:tc>
          <w:tcPr>
            <w:tcW w:w="1112" w:type="dxa"/>
            <w:shd w:val="clear" w:color="auto" w:fill="auto"/>
            <w:noWrap/>
            <w:vAlign w:val="center"/>
          </w:tcPr>
          <w:p>
            <w:pPr>
              <w:spacing w:after="0" w:line="240" w:lineRule="auto"/>
              <w:jc w:val="center"/>
              <w:textAlignment w:val="bottom"/>
              <w:rPr>
                <w:color w:val="000000"/>
                <w:szCs w:val="20"/>
              </w:rPr>
            </w:pPr>
            <w:r>
              <w:rPr>
                <w:color w:val="000000"/>
                <w:szCs w:val="20"/>
                <w:lang w:bidi="ar"/>
              </w:rPr>
              <w:t>4096</w:t>
            </w:r>
          </w:p>
        </w:tc>
        <w:tc>
          <w:tcPr>
            <w:tcW w:w="1115" w:type="dxa"/>
            <w:shd w:val="clear" w:color="auto" w:fill="auto"/>
            <w:noWrap/>
            <w:vAlign w:val="center"/>
          </w:tcPr>
          <w:p>
            <w:pPr>
              <w:spacing w:after="0" w:line="240" w:lineRule="auto"/>
              <w:jc w:val="center"/>
              <w:textAlignment w:val="bottom"/>
              <w:rPr>
                <w:color w:val="000000"/>
                <w:szCs w:val="20"/>
              </w:rPr>
            </w:pPr>
            <w:r>
              <w:rPr>
                <w:color w:val="000000"/>
                <w:szCs w:val="20"/>
                <w:lang w:bidi="ar"/>
              </w:rPr>
              <w:t>4096</w:t>
            </w:r>
          </w:p>
        </w:tc>
      </w:tr>
    </w:tbl>
    <w:p>
      <w:pPr>
        <w:snapToGrid w:val="0"/>
        <w:spacing w:before="60" w:beforeLines="25" w:after="120" w:afterLines="50" w:line="300" w:lineRule="auto"/>
      </w:pPr>
      <w:r>
        <w:rPr>
          <w:rFonts w:hint="eastAsia" w:eastAsia="微软雅黑"/>
          <w:szCs w:val="20"/>
        </w:rPr>
        <w:t xml:space="preserve">SLS is conducted to evaluate the performance of 64T/72T </w:t>
      </w:r>
      <w:r>
        <w:rPr>
          <w:rFonts w:hint="eastAsia"/>
        </w:rPr>
        <w:t xml:space="preserve">Type-I codebook with 1, </w:t>
      </w:r>
      <w:r>
        <w:t>2- and 4-time</w:t>
      </w:r>
      <w:r>
        <w:rPr>
          <w:rFonts w:hint="eastAsia"/>
        </w:rPr>
        <w:t xml:space="preserve"> oversampling</w:t>
      </w:r>
      <w:r>
        <w:t xml:space="preserve"> ratio</w:t>
      </w:r>
      <w:r>
        <w:rPr>
          <w:rFonts w:hint="eastAsia" w:eastAsia="微软雅黑"/>
          <w:szCs w:val="20"/>
        </w:rPr>
        <w:t xml:space="preserve">, where </w:t>
      </w:r>
      <m:oMath>
        <m:d>
          <m:dPr>
            <m:ctrlPr>
              <w:rPr>
                <w:rFonts w:ascii="Cambria Math" w:hAnsi="Cambria Math"/>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rPr>
            </m:ctrlPr>
          </m:e>
        </m:d>
      </m:oMath>
      <w:r>
        <w:rPr>
          <w:rFonts w:hint="eastAsia" w:hAnsi="Cambria Math"/>
        </w:rPr>
        <w:t xml:space="preserve"> = (1, 1) is regarded as a baseline</w:t>
      </w:r>
      <w:r>
        <w:rPr>
          <w:rFonts w:eastAsia="微软雅黑"/>
          <w:szCs w:val="20"/>
        </w:rPr>
        <w:t xml:space="preserve">. </w:t>
      </w:r>
      <w:r>
        <w:rPr>
          <w:rFonts w:hint="eastAsia" w:eastAsia="微软雅黑"/>
          <w:szCs w:val="20"/>
        </w:rPr>
        <w:t>Figure 1 shows the average DL throughput results</w:t>
      </w:r>
      <w:r>
        <w:rPr>
          <w:rFonts w:eastAsia="微软雅黑"/>
          <w:szCs w:val="20"/>
        </w:rPr>
        <w:t>.</w:t>
      </w:r>
      <w:r>
        <w:rPr>
          <w:rFonts w:hint="eastAsia" w:eastAsia="微软雅黑"/>
          <w:szCs w:val="20"/>
        </w:rPr>
        <w:t xml:space="preserve"> </w:t>
      </w:r>
      <w:r>
        <w:rPr>
          <w:rFonts w:eastAsia="微软雅黑"/>
          <w:szCs w:val="20"/>
        </w:rPr>
        <w:t xml:space="preserve">It </w:t>
      </w:r>
      <w:r>
        <w:rPr>
          <w:rFonts w:hint="eastAsia" w:eastAsia="微软雅黑"/>
          <w:szCs w:val="20"/>
        </w:rPr>
        <w:t>is</w:t>
      </w:r>
      <w:r>
        <w:rPr>
          <w:rFonts w:eastAsia="微软雅黑"/>
          <w:szCs w:val="20"/>
        </w:rPr>
        <w:t xml:space="preserve"> observed that </w:t>
      </w:r>
      <m:oMath>
        <m:d>
          <m:dPr>
            <m:ctrlPr>
              <w:rPr>
                <w:rFonts w:ascii="Cambria Math" w:hAnsi="Cambria Math"/>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rPr>
            </m:ctrlPr>
          </m:e>
        </m:d>
      </m:oMath>
      <w:r>
        <w:rPr>
          <w:rFonts w:hint="eastAsia" w:hAnsi="Cambria Math"/>
        </w:rPr>
        <w:t xml:space="preserve"> = (2, 2)</w:t>
      </w:r>
      <w:r>
        <w:rPr>
          <w:rFonts w:hint="eastAsia" w:eastAsia="微软雅黑"/>
          <w:szCs w:val="20"/>
        </w:rPr>
        <w:t xml:space="preserve"> and </w:t>
      </w:r>
      <m:oMath>
        <m:d>
          <m:dPr>
            <m:ctrlPr>
              <w:rPr>
                <w:rFonts w:ascii="Cambria Math" w:hAnsi="Cambria Math"/>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rPr>
            </m:ctrlPr>
          </m:e>
        </m:d>
      </m:oMath>
      <w:r>
        <w:rPr>
          <w:rFonts w:hint="eastAsia" w:hAnsi="Cambria Math"/>
        </w:rPr>
        <w:t xml:space="preserve"> = (4, 4)</w:t>
      </w:r>
      <w:r>
        <w:rPr>
          <w:rFonts w:eastAsia="微软雅黑"/>
          <w:szCs w:val="20"/>
        </w:rPr>
        <w:t xml:space="preserve"> </w:t>
      </w:r>
      <w:r>
        <w:rPr>
          <w:rFonts w:hint="eastAsia"/>
        </w:rPr>
        <w:t>can provide</w:t>
      </w:r>
      <w:r>
        <w:rPr>
          <w:rFonts w:eastAsia="微软雅黑"/>
          <w:szCs w:val="20"/>
        </w:rPr>
        <w:t xml:space="preserve"> </w:t>
      </w:r>
      <w:r>
        <w:rPr>
          <w:rFonts w:hint="eastAsia" w:eastAsia="微软雅黑"/>
          <w:szCs w:val="20"/>
        </w:rPr>
        <w:t xml:space="preserve">similar performance, especially when the number of antenna ports </w:t>
      </w:r>
      <w:r>
        <w:rPr>
          <w:rFonts w:eastAsia="微软雅黑"/>
          <w:szCs w:val="20"/>
        </w:rPr>
        <w:t>become</w:t>
      </w:r>
      <w:r>
        <w:rPr>
          <w:rFonts w:hint="eastAsia" w:eastAsia="微软雅黑"/>
          <w:szCs w:val="20"/>
        </w:rPr>
        <w:t xml:space="preserve"> larger</w:t>
      </w:r>
      <w:r>
        <w:rPr>
          <w:rFonts w:hint="eastAsia"/>
        </w:rPr>
        <w:t>.</w:t>
      </w:r>
    </w:p>
    <w:p>
      <w:pPr>
        <w:snapToGrid w:val="0"/>
        <w:spacing w:before="72" w:beforeLines="30" w:after="72" w:afterLines="30" w:line="300" w:lineRule="auto"/>
        <w:jc w:val="center"/>
        <w:textAlignment w:val="center"/>
        <w:rPr>
          <w:b/>
          <w:bCs/>
        </w:rPr>
      </w:pPr>
      <w:r>
        <w:drawing>
          <wp:inline distT="0" distB="0" distL="114300" distR="114300">
            <wp:extent cx="3425825" cy="1841500"/>
            <wp:effectExtent l="4445" t="4445" r="17780" b="2095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napToGrid w:val="0"/>
        <w:spacing w:before="72" w:beforeLines="30" w:after="72" w:afterLines="30" w:line="300" w:lineRule="auto"/>
        <w:jc w:val="center"/>
        <w:textAlignment w:val="center"/>
      </w:pPr>
      <w:r>
        <w:rPr>
          <w:rFonts w:hint="eastAsia"/>
          <w:b/>
          <w:bCs/>
        </w:rPr>
        <w:t>Figure 1</w:t>
      </w:r>
      <w:r>
        <w:rPr>
          <w:rFonts w:hint="eastAsia"/>
        </w:rPr>
        <w:t xml:space="preserve"> DL throughput gain (Type-I) in SU-MIMO scenario with 1, </w:t>
      </w:r>
      <w:r>
        <w:t>2- and 4-time</w:t>
      </w:r>
      <w:r>
        <w:rPr>
          <w:rFonts w:hint="eastAsia"/>
        </w:rPr>
        <w:t xml:space="preserve"> oversampling</w:t>
      </w:r>
    </w:p>
    <w:p>
      <w:pPr>
        <w:snapToGrid w:val="0"/>
        <w:spacing w:before="72" w:beforeLines="30" w:after="72" w:afterLines="30" w:line="300" w:lineRule="auto"/>
        <w:rPr>
          <w:b/>
          <w:i/>
        </w:rPr>
      </w:pPr>
      <w:r>
        <w:rPr>
          <w:rFonts w:hint="eastAsia"/>
          <w:b/>
          <w:i/>
        </w:rPr>
        <w:t>Observation 1:</w:t>
      </w:r>
      <w:r>
        <w:rPr>
          <w:rFonts w:hint="eastAsia"/>
          <w:bCs/>
          <w:i/>
        </w:rPr>
        <w:t xml:space="preserve"> When the number of antenna ports is larger than 32,</w:t>
      </w:r>
      <w:r>
        <w:rPr>
          <w:rFonts w:hint="eastAsia"/>
          <w:b/>
          <w:i/>
        </w:rPr>
        <w:t xml:space="preserve">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hAnsi="Cambria Math"/>
          <w:i/>
          <w:iCs/>
        </w:rPr>
        <w:t xml:space="preserve"> = (2, 2)</w:t>
      </w:r>
      <w:r>
        <w:rPr>
          <w:rFonts w:hint="eastAsia" w:eastAsia="微软雅黑"/>
          <w:i/>
          <w:iCs/>
          <w:szCs w:val="20"/>
        </w:rPr>
        <w:t xml:space="preserve"> and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hAnsi="Cambria Math"/>
          <w:i/>
          <w:iCs/>
        </w:rPr>
        <w:t xml:space="preserve"> = (4, 4</w:t>
      </w:r>
      <w:r>
        <w:rPr>
          <w:rFonts w:hAnsi="Cambria Math"/>
          <w:i/>
          <w:iCs/>
        </w:rPr>
        <w:t>)</w:t>
      </w:r>
      <w:r>
        <w:rPr>
          <w:rFonts w:eastAsia="微软雅黑"/>
          <w:i/>
          <w:iCs/>
          <w:szCs w:val="20"/>
        </w:rPr>
        <w:t xml:space="preserve"> </w:t>
      </w:r>
      <w:r>
        <w:rPr>
          <w:i/>
          <w:iCs/>
        </w:rPr>
        <w:t>provide</w:t>
      </w:r>
      <w:r>
        <w:rPr>
          <w:rFonts w:eastAsia="微软雅黑"/>
          <w:i/>
          <w:iCs/>
          <w:szCs w:val="20"/>
        </w:rPr>
        <w:t xml:space="preserve"> </w:t>
      </w:r>
      <w:r>
        <w:rPr>
          <w:rFonts w:hint="eastAsia" w:eastAsia="微软雅黑"/>
          <w:i/>
          <w:iCs/>
          <w:szCs w:val="20"/>
        </w:rPr>
        <w:t>similar performance.</w:t>
      </w:r>
    </w:p>
    <w:p>
      <w:pPr>
        <w:snapToGrid w:val="0"/>
        <w:spacing w:before="72" w:beforeLines="30" w:after="72" w:afterLines="30" w:line="300" w:lineRule="auto"/>
        <w:rPr>
          <w:i/>
        </w:rPr>
      </w:pPr>
      <w:r>
        <w:rPr>
          <w:b/>
          <w:i/>
        </w:rPr>
        <w:t xml:space="preserve">Proposal </w:t>
      </w:r>
      <w:r>
        <w:rPr>
          <w:rFonts w:hint="eastAsia"/>
          <w:b/>
          <w:i/>
        </w:rPr>
        <w:t xml:space="preserve">2: </w:t>
      </w:r>
      <w:r>
        <w:rPr>
          <w:rFonts w:hint="eastAsia"/>
          <w:bCs/>
          <w:i/>
        </w:rPr>
        <w:t>Regarding Rel-19 Type-I/eType-II codebook refinement,</w:t>
      </w:r>
      <w:r>
        <w:rPr>
          <w:rFonts w:hint="eastAsia"/>
          <w:b/>
          <w:i/>
        </w:rPr>
        <w:t xml:space="preserve"> </w:t>
      </w:r>
      <w:r>
        <w:rPr>
          <w:rFonts w:hint="eastAsia"/>
          <w:i/>
        </w:rPr>
        <w:t xml:space="preserve">support decreased oversampling factors, e.g., </w:t>
      </w:r>
      <m:oMath>
        <m:d>
          <m:dPr>
            <m:ctrlPr>
              <w:rPr>
                <w:rFonts w:ascii="Cambria Math" w:hAnsi="Cambria Math"/>
                <w:bCs/>
                <w:i/>
                <w:color w:val="000000"/>
              </w:rPr>
            </m:ctrlPr>
          </m:dPr>
          <m:e>
            <m:sSub>
              <m:sSubPr>
                <m:ctrlPr>
                  <w:rPr>
                    <w:rFonts w:ascii="Cambria Math" w:hAnsi="Cambria Math"/>
                    <w:bCs/>
                    <w:i/>
                    <w:color w:val="000000"/>
                  </w:rPr>
                </m:ctrlPr>
              </m:sSubPr>
              <m:e>
                <m:r>
                  <m:rPr/>
                  <w:rPr>
                    <w:rFonts w:ascii="Cambria Math" w:hAnsi="Cambria Math"/>
                    <w:color w:val="000000"/>
                  </w:rPr>
                  <m:t>O</m:t>
                </m:r>
                <m:ctrlPr>
                  <w:rPr>
                    <w:rFonts w:ascii="Cambria Math" w:hAnsi="Cambria Math"/>
                    <w:bCs/>
                    <w:i/>
                    <w:color w:val="000000"/>
                  </w:rPr>
                </m:ctrlPr>
              </m:e>
              <m:sub>
                <m:r>
                  <m:rPr/>
                  <w:rPr>
                    <w:rFonts w:ascii="Cambria Math" w:hAnsi="Cambria Math"/>
                    <w:color w:val="000000"/>
                  </w:rPr>
                  <m:t>1</m:t>
                </m:r>
                <m:ctrlPr>
                  <w:rPr>
                    <w:rFonts w:ascii="Cambria Math" w:hAnsi="Cambria Math"/>
                    <w:bCs/>
                    <w:i/>
                    <w:color w:val="000000"/>
                  </w:rPr>
                </m:ctrlPr>
              </m:sub>
            </m:sSub>
            <m:r>
              <m:rPr/>
              <w:rPr>
                <w:rFonts w:ascii="Cambria Math" w:hAnsi="Cambria Math"/>
                <w:color w:val="000000"/>
              </w:rPr>
              <m:t xml:space="preserve">, </m:t>
            </m:r>
            <m:sSub>
              <m:sSubPr>
                <m:ctrlPr>
                  <w:rPr>
                    <w:rFonts w:ascii="Cambria Math" w:hAnsi="Cambria Math"/>
                    <w:bCs/>
                    <w:i/>
                    <w:color w:val="000000"/>
                  </w:rPr>
                </m:ctrlPr>
              </m:sSubPr>
              <m:e>
                <m:r>
                  <m:rPr/>
                  <w:rPr>
                    <w:rFonts w:ascii="Cambria Math" w:hAnsi="Cambria Math"/>
                    <w:color w:val="000000"/>
                  </w:rPr>
                  <m:t>O</m:t>
                </m:r>
                <m:ctrlPr>
                  <w:rPr>
                    <w:rFonts w:ascii="Cambria Math" w:hAnsi="Cambria Math"/>
                    <w:bCs/>
                    <w:i/>
                    <w:color w:val="000000"/>
                  </w:rPr>
                </m:ctrlPr>
              </m:e>
              <m:sub>
                <m:r>
                  <m:rPr/>
                  <w:rPr>
                    <w:rFonts w:ascii="Cambria Math" w:hAnsi="Cambria Math"/>
                    <w:color w:val="000000"/>
                  </w:rPr>
                  <m:t>2</m:t>
                </m:r>
                <m:ctrlPr>
                  <w:rPr>
                    <w:rFonts w:ascii="Cambria Math" w:hAnsi="Cambria Math"/>
                    <w:bCs/>
                    <w:i/>
                    <w:color w:val="000000"/>
                  </w:rPr>
                </m:ctrlPr>
              </m:sub>
            </m:sSub>
            <m:ctrlPr>
              <w:rPr>
                <w:rFonts w:ascii="Cambria Math" w:hAnsi="Cambria Math"/>
                <w:bCs/>
                <w:i/>
                <w:color w:val="000000"/>
              </w:rPr>
            </m:ctrlPr>
          </m:e>
        </m:d>
        <m:r>
          <m:rPr/>
          <w:rPr>
            <w:rFonts w:ascii="Cambria Math" w:hAnsi="Cambria Math"/>
            <w:color w:val="000000"/>
          </w:rPr>
          <m:t>=</m:t>
        </m:r>
        <m:d>
          <m:dPr>
            <m:ctrlPr>
              <w:rPr>
                <w:rFonts w:ascii="Cambria Math" w:hAnsi="Cambria Math"/>
                <w:bCs/>
                <w:i/>
                <w:color w:val="000000"/>
              </w:rPr>
            </m:ctrlPr>
          </m:dPr>
          <m:e>
            <m:r>
              <m:rPr/>
              <w:rPr>
                <w:rFonts w:ascii="Cambria Math" w:hAnsi="Cambria Math"/>
                <w:color w:val="000000"/>
              </w:rPr>
              <m:t>2, 2</m:t>
            </m:r>
            <m:ctrlPr>
              <w:rPr>
                <w:rFonts w:ascii="Cambria Math" w:hAnsi="Cambria Math"/>
                <w:bCs/>
                <w:i/>
                <w:color w:val="000000"/>
              </w:rPr>
            </m:ctrlPr>
          </m:e>
        </m:d>
      </m:oMath>
      <w:r>
        <w:rPr>
          <w:rFonts w:hint="eastAsia" w:hAnsi="Cambria Math"/>
          <w:bCs/>
          <w:i/>
          <w:color w:val="000000"/>
        </w:rPr>
        <w:t>,</w:t>
      </w:r>
      <w:r>
        <w:rPr>
          <w:rFonts w:hint="eastAsia"/>
          <w:i/>
        </w:rPr>
        <w:t xml:space="preserve"> when the number of antenna ports is larger than 32.</w:t>
      </w:r>
    </w:p>
    <w:p>
      <w:pPr>
        <w:tabs>
          <w:tab w:val="left" w:pos="7938"/>
        </w:tabs>
        <w:snapToGrid w:val="0"/>
        <w:spacing w:before="240" w:after="120" w:afterLines="50" w:line="240" w:lineRule="auto"/>
        <w:outlineLvl w:val="2"/>
        <w:rPr>
          <w:bCs/>
          <w:kern w:val="2"/>
          <w:szCs w:val="20"/>
        </w:rPr>
      </w:pPr>
      <w:r>
        <w:rPr>
          <w:b/>
          <w:bCs/>
          <w:sz w:val="21"/>
          <w:szCs w:val="21"/>
        </w:rPr>
        <w:t>2.1.</w:t>
      </w:r>
      <w:r>
        <w:rPr>
          <w:rFonts w:hint="eastAsia"/>
          <w:b/>
          <w:bCs/>
          <w:sz w:val="21"/>
          <w:szCs w:val="21"/>
        </w:rPr>
        <w:t>2</w:t>
      </w:r>
      <w:r>
        <w:rPr>
          <w:b/>
          <w:bCs/>
          <w:sz w:val="21"/>
          <w:szCs w:val="21"/>
        </w:rPr>
        <w:t xml:space="preserve"> </w:t>
      </w:r>
      <w:r>
        <w:rPr>
          <w:rFonts w:hint="eastAsia"/>
          <w:b/>
          <w:bCs/>
          <w:sz w:val="21"/>
          <w:szCs w:val="21"/>
        </w:rPr>
        <w:t xml:space="preserve">CSI-RS configuration </w:t>
      </w:r>
    </w:p>
    <w:p>
      <w:r>
        <w:rPr>
          <w:rFonts w:hint="eastAsia"/>
        </w:rPr>
        <w:t xml:space="preserve">Based on current specification, for Rel-15 Type-I codebook, up to 8 CSI-RS resources for channel measurement can be configured in a CSI-RS resource set. If </w:t>
      </w:r>
      <m:oMath>
        <m:sSub>
          <m:sSubPr>
            <m:ctrlPr>
              <w:rPr>
                <w:rFonts w:hint="eastAsia" w:ascii="Cambria Math" w:hAnsi="Cambria Math"/>
                <w:bCs/>
                <w:kern w:val="2"/>
                <w:szCs w:val="20"/>
              </w:rPr>
            </m:ctrlPr>
          </m:sSubPr>
          <m:e>
            <m:r>
              <m:rPr/>
              <w:rPr>
                <w:rFonts w:ascii="Cambria Math" w:hAnsi="Cambria Math"/>
                <w:kern w:val="2"/>
                <w:szCs w:val="20"/>
              </w:rPr>
              <m:t>K</m:t>
            </m:r>
            <m:ctrlPr>
              <w:rPr>
                <w:rFonts w:hint="eastAsia" w:ascii="Cambria Math" w:hAnsi="Cambria Math"/>
                <w:bCs/>
                <w:kern w:val="2"/>
                <w:szCs w:val="20"/>
              </w:rPr>
            </m:ctrlPr>
          </m:e>
          <m:sub>
            <m:r>
              <m:rPr>
                <m:sty m:val="p"/>
              </m:rPr>
              <w:rPr>
                <w:rFonts w:hint="eastAsia" w:ascii="Cambria Math" w:hAnsi="Cambria Math"/>
                <w:kern w:val="2"/>
                <w:szCs w:val="20"/>
              </w:rPr>
              <m:t>s</m:t>
            </m:r>
            <m:ctrlPr>
              <w:rPr>
                <w:rFonts w:hint="eastAsia" w:ascii="Cambria Math" w:hAnsi="Cambria Math"/>
                <w:bCs/>
                <w:kern w:val="2"/>
                <w:szCs w:val="20"/>
              </w:rPr>
            </m:ctrlPr>
          </m:sub>
        </m:sSub>
        <m:r>
          <m:rPr>
            <m:sty m:val="p"/>
          </m:rPr>
          <w:rPr>
            <w:rFonts w:hint="eastAsia" w:ascii="Cambria Math" w:hAnsi="Cambria Math"/>
            <w:kern w:val="2"/>
            <w:szCs w:val="20"/>
          </w:rPr>
          <m:t xml:space="preserve">=2 </m:t>
        </m:r>
      </m:oMath>
      <w:r>
        <w:rPr>
          <w:rFonts w:hint="eastAsia"/>
          <w:bCs/>
          <w:kern w:val="2"/>
          <w:szCs w:val="20"/>
        </w:rPr>
        <w:t xml:space="preserve">CSI-RS resources are configured, each resource shall contain at most 16 CSI-RS ports; and if </w:t>
      </w:r>
      <m:oMath>
        <m:r>
          <m:rPr>
            <m:sty m:val="p"/>
          </m:rPr>
          <w:rPr>
            <w:rFonts w:hint="eastAsia" w:ascii="Cambria Math" w:hAnsi="Cambria Math"/>
            <w:kern w:val="2"/>
            <w:szCs w:val="20"/>
          </w:rPr>
          <m:t>2&lt;</m:t>
        </m:r>
        <m:sSub>
          <m:sSubPr>
            <m:ctrlPr>
              <w:rPr>
                <w:rFonts w:hint="eastAsia" w:ascii="Cambria Math" w:hAnsi="Cambria Math"/>
                <w:bCs/>
                <w:kern w:val="2"/>
                <w:szCs w:val="20"/>
              </w:rPr>
            </m:ctrlPr>
          </m:sSubPr>
          <m:e>
            <m:r>
              <m:rPr/>
              <w:rPr>
                <w:rFonts w:ascii="Cambria Math" w:hAnsi="Cambria Math"/>
                <w:kern w:val="2"/>
                <w:szCs w:val="20"/>
              </w:rPr>
              <m:t>K</m:t>
            </m:r>
            <m:ctrlPr>
              <w:rPr>
                <w:rFonts w:hint="eastAsia" w:ascii="Cambria Math" w:hAnsi="Cambria Math"/>
                <w:bCs/>
                <w:kern w:val="2"/>
                <w:szCs w:val="20"/>
              </w:rPr>
            </m:ctrlPr>
          </m:e>
          <m:sub>
            <m:r>
              <m:rPr>
                <m:sty m:val="p"/>
              </m:rPr>
              <w:rPr>
                <w:rFonts w:hint="eastAsia" w:ascii="Cambria Math" w:hAnsi="Cambria Math"/>
                <w:kern w:val="2"/>
                <w:szCs w:val="20"/>
              </w:rPr>
              <m:t>s</m:t>
            </m:r>
            <m:ctrlPr>
              <w:rPr>
                <w:rFonts w:hint="eastAsia" w:ascii="Cambria Math" w:hAnsi="Cambria Math"/>
                <w:bCs/>
                <w:kern w:val="2"/>
                <w:szCs w:val="20"/>
              </w:rPr>
            </m:ctrlPr>
          </m:sub>
        </m:sSub>
        <m:r>
          <m:rPr>
            <m:sty m:val="p"/>
          </m:rPr>
          <w:rPr>
            <w:rFonts w:hint="eastAsia" w:ascii="Cambria Math" w:hAnsi="Cambria Math"/>
            <w:kern w:val="2"/>
            <w:szCs w:val="20"/>
          </w:rPr>
          <m:t xml:space="preserve">≤8 </m:t>
        </m:r>
      </m:oMath>
      <w:r>
        <w:rPr>
          <w:rFonts w:hint="eastAsia"/>
          <w:bCs/>
          <w:kern w:val="2"/>
          <w:szCs w:val="20"/>
        </w:rPr>
        <w:t>CSI-RS resources are configured, each resource shall contain at most 8 CSI-RS ports. However, for Rel-18 Type-II-CJT and Type-II-CJT-port</w:t>
      </w:r>
      <w:r>
        <w:rPr>
          <w:bCs/>
          <w:kern w:val="2"/>
          <w:szCs w:val="20"/>
        </w:rPr>
        <w:t>-s</w:t>
      </w:r>
      <w:r>
        <w:rPr>
          <w:rFonts w:hint="eastAsia"/>
          <w:bCs/>
          <w:kern w:val="2"/>
          <w:szCs w:val="20"/>
        </w:rPr>
        <w:t>election codebooks, up to 4 CSI-RS resources for channel measurement can be configured in a CSI-RS resource set, and each resource can contain at most 32 ports. For Rel-19 Type-I/Type-II codebook refinement, the CSI-RS resource configuration in Rel-18 can be considered as a baseline, and all resources in the resource set shall contain a same number of CSI-RS ports.</w:t>
      </w:r>
    </w:p>
    <w:p>
      <w:pPr>
        <w:snapToGrid w:val="0"/>
        <w:spacing w:before="72" w:beforeLines="30" w:after="72" w:afterLines="30" w:line="300" w:lineRule="auto"/>
        <w:textAlignment w:val="center"/>
        <w:rPr>
          <w:i/>
        </w:rPr>
      </w:pPr>
      <w:r>
        <w:rPr>
          <w:b/>
          <w:i/>
        </w:rPr>
        <w:t xml:space="preserve">Proposal </w:t>
      </w:r>
      <w:r>
        <w:rPr>
          <w:rFonts w:hint="eastAsia"/>
          <w:b/>
          <w:i/>
        </w:rPr>
        <w:t>3:</w:t>
      </w:r>
      <w:r>
        <w:rPr>
          <w:rFonts w:hint="eastAsia"/>
          <w:bCs/>
          <w:i/>
        </w:rPr>
        <w:t xml:space="preserve"> Regarding Rel-19 Type-I/Type-II codebook refinement, the </w:t>
      </w:r>
      <w:r>
        <w:rPr>
          <w:rFonts w:hint="eastAsia"/>
          <w:i/>
        </w:rPr>
        <w:t>Rel-18 CSI-RS resource configuration can be considered as a baseline, i.e.</w:t>
      </w:r>
      <w:r>
        <w:rPr>
          <w:i/>
        </w:rPr>
        <w:t>,</w:t>
      </w:r>
    </w:p>
    <w:p>
      <w:pPr>
        <w:numPr>
          <w:ilvl w:val="0"/>
          <w:numId w:val="10"/>
        </w:numPr>
        <w:snapToGrid w:val="0"/>
        <w:spacing w:before="120" w:beforeLines="50" w:after="120" w:afterLines="50" w:line="300" w:lineRule="auto"/>
        <w:rPr>
          <w:i/>
          <w:iCs/>
        </w:rPr>
      </w:pPr>
      <w:r>
        <w:rPr>
          <w:rFonts w:hint="eastAsia" w:hAnsi="Cambria Math"/>
          <w:i/>
        </w:rPr>
        <w:t xml:space="preserve">Up to 4 </w:t>
      </w:r>
      <w:r>
        <w:rPr>
          <w:rFonts w:hint="eastAsia"/>
          <w:i/>
          <w:iCs/>
          <w:color w:val="000000"/>
        </w:rPr>
        <w:t xml:space="preserve">CSI-RS resources for channel measurement </w:t>
      </w:r>
      <w:r>
        <w:rPr>
          <w:rFonts w:hint="eastAsia"/>
        </w:rPr>
        <w:t xml:space="preserve">can </w:t>
      </w:r>
      <w:r>
        <w:rPr>
          <w:rFonts w:hint="eastAsia"/>
          <w:i/>
          <w:iCs/>
          <w:color w:val="000000"/>
        </w:rPr>
        <w:t>be configured in a CSI-RS resource set, each resource shall contain at most 32 CSI-RS ports;</w:t>
      </w:r>
    </w:p>
    <w:p>
      <w:pPr>
        <w:numPr>
          <w:ilvl w:val="0"/>
          <w:numId w:val="10"/>
        </w:numPr>
        <w:snapToGrid w:val="0"/>
        <w:spacing w:before="120" w:beforeLines="50" w:after="120" w:afterLines="50" w:line="300" w:lineRule="auto"/>
      </w:pPr>
      <w:r>
        <w:rPr>
          <w:rFonts w:hint="eastAsia"/>
          <w:i/>
          <w:iCs/>
        </w:rPr>
        <w:t>All the resources in the resource set shall contain a same number of CSI-RS ports.</w:t>
      </w:r>
    </w:p>
    <w:p>
      <w:pPr>
        <w:tabs>
          <w:tab w:val="left" w:pos="7938"/>
        </w:tabs>
        <w:snapToGrid w:val="0"/>
        <w:spacing w:before="120" w:beforeLines="50" w:after="120" w:afterLines="50" w:line="300" w:lineRule="auto"/>
      </w:pPr>
      <w:r>
        <w:t>For</w:t>
      </w:r>
      <w:r>
        <w:rPr>
          <w:rFonts w:hint="eastAsia"/>
        </w:rPr>
        <w:t xml:space="preserve"> Rel-19 Type-I/Type-II codebook refinement, the same CSI-RS ports in different CSI-RS resources should be mapped to different antenna ports to achieve up-to-128-port CSI reporting. </w:t>
      </w:r>
      <w:r>
        <w:t>For instance,</w:t>
      </w:r>
      <w:r>
        <w:rPr>
          <w:rFonts w:hint="eastAsia"/>
        </w:rPr>
        <w:t xml:space="preserve"> if</w:t>
      </w:r>
      <w:r>
        <w:t xml:space="preserve"> 4 CSI-RS resources are</w:t>
      </w:r>
      <w:r>
        <w:rPr>
          <w:rFonts w:hint="eastAsia"/>
        </w:rPr>
        <w:t xml:space="preserve"> configured</w:t>
      </w:r>
      <w:r>
        <w:t xml:space="preserve"> in </w:t>
      </w:r>
      <w:r>
        <w:rPr>
          <w:rFonts w:hint="eastAsia"/>
        </w:rPr>
        <w:t>a</w:t>
      </w:r>
      <w:r>
        <w:t xml:space="preserve"> CSI-RS resource set, and each resource is configured</w:t>
      </w:r>
      <w:r>
        <w:rPr>
          <w:rFonts w:hint="eastAsia"/>
        </w:rPr>
        <w:t xml:space="preserve"> with</w:t>
      </w:r>
      <w:r>
        <w:t xml:space="preserve"> 32 CSI-RS ports</w:t>
      </w:r>
      <w:r>
        <w:rPr>
          <w:rFonts w:hint="eastAsia"/>
        </w:rPr>
        <w:t xml:space="preserve">, CSI-RS ports in the </w:t>
      </w:r>
      <w:r>
        <w:t>first</w:t>
      </w:r>
      <w:r>
        <w:rPr>
          <w:rFonts w:hint="eastAsia"/>
        </w:rPr>
        <w:t xml:space="preserve"> to the fourth CSI-RS resources should be mapped to antenna ports {3000, 3001, ..., 3031}, {3032, 3033, ..., 3063}, {3064, 3065, ..., 3095}, {3096, 3097, ..., 3127}, respectively.</w:t>
      </w:r>
    </w:p>
    <w:p>
      <w:pPr>
        <w:snapToGrid w:val="0"/>
        <w:spacing w:before="72" w:beforeLines="30" w:after="72" w:afterLines="30" w:line="300" w:lineRule="auto"/>
        <w:textAlignment w:val="center"/>
        <w:rPr>
          <w:szCs w:val="20"/>
        </w:rPr>
      </w:pPr>
      <w:r>
        <w:rPr>
          <w:b/>
          <w:i/>
        </w:rPr>
        <w:t>Proposal 4</w:t>
      </w:r>
      <w:r>
        <w:rPr>
          <w:rFonts w:hint="eastAsia"/>
          <w:b/>
          <w:i/>
        </w:rPr>
        <w:t xml:space="preserve">: </w:t>
      </w:r>
      <w:r>
        <w:rPr>
          <w:rFonts w:hint="eastAsia"/>
          <w:bCs/>
          <w:i/>
        </w:rPr>
        <w:t xml:space="preserve">Regarding Rel-19 Type-I/Type-II codebook refinement, </w:t>
      </w:r>
      <w:r>
        <w:rPr>
          <w:rFonts w:hint="eastAsia"/>
          <w:i/>
        </w:rPr>
        <w:t>introduce mapping between CSI-RS ports across multiple CSI-RS resources to antenna ports for Type-I/Type-II codebook refinement.</w:t>
      </w:r>
    </w:p>
    <w:p>
      <w:pPr>
        <w:numPr>
          <w:ilvl w:val="1"/>
          <w:numId w:val="8"/>
        </w:numPr>
        <w:tabs>
          <w:tab w:val="clear" w:pos="576"/>
        </w:tabs>
        <w:snapToGrid w:val="0"/>
        <w:spacing w:before="240" w:after="120" w:afterLines="50" w:line="240" w:lineRule="auto"/>
        <w:ind w:left="567" w:hanging="567"/>
        <w:outlineLvl w:val="1"/>
        <w:rPr>
          <w:b/>
          <w:sz w:val="24"/>
          <w:szCs w:val="20"/>
        </w:rPr>
      </w:pPr>
      <w:r>
        <w:rPr>
          <w:rFonts w:hint="eastAsia"/>
          <w:b/>
          <w:sz w:val="24"/>
          <w:szCs w:val="20"/>
        </w:rPr>
        <w:t xml:space="preserve">Type-I codebook refinement </w:t>
      </w:r>
    </w:p>
    <w:p>
      <w:r>
        <w:rPr>
          <w:rFonts w:hint="eastAsia"/>
        </w:rPr>
        <w:t>As the number of antenna ports increases, the usable beams (herein, each beam corresponds to a SD basis) becomes denser in the spa</w:t>
      </w:r>
      <w:r>
        <w:t>tial domain</w:t>
      </w:r>
      <w:r>
        <w:rPr>
          <w:rFonts w:hint="eastAsia"/>
        </w:rPr>
        <w:t>, and the beam width becomes narrower. To adopt the physical changes, some essential enhancements of Type-I codebook are needed to guarantee the DL transmission performance.</w:t>
      </w:r>
    </w:p>
    <w:p>
      <w:r>
        <w:rPr>
          <w:rFonts w:hint="eastAsia"/>
        </w:rPr>
        <w:t>In general, the following two options can be considered for the refinement of Type-I codebook:</w:t>
      </w:r>
    </w:p>
    <w:p>
      <w:pPr>
        <w:numPr>
          <w:ilvl w:val="0"/>
          <w:numId w:val="10"/>
        </w:numPr>
        <w:snapToGrid w:val="0"/>
        <w:spacing w:before="120" w:beforeLines="50" w:after="120" w:afterLines="50" w:line="300" w:lineRule="auto"/>
      </w:pPr>
      <w:r>
        <w:rPr>
          <w:rFonts w:hint="eastAsia"/>
        </w:rPr>
        <w:t>Option 1: structural codebook (the precoding matrix of each layer is based on one SD basis), e.g.:</w:t>
      </w:r>
    </w:p>
    <w:p>
      <w:pPr>
        <w:numPr>
          <w:ilvl w:val="1"/>
          <w:numId w:val="10"/>
        </w:numPr>
        <w:snapToGrid w:val="0"/>
        <w:spacing w:before="120" w:beforeLines="50" w:after="120" w:afterLines="50" w:line="300" w:lineRule="auto"/>
      </w:pPr>
      <w:r>
        <w:rPr>
          <w:rFonts w:hint="eastAsia"/>
        </w:rPr>
        <w:t>The wideband SD bases corresponding to different layers are selected independently;</w:t>
      </w:r>
    </w:p>
    <w:p>
      <w:pPr>
        <w:numPr>
          <w:ilvl w:val="1"/>
          <w:numId w:val="10"/>
        </w:numPr>
        <w:snapToGrid w:val="0"/>
        <w:spacing w:before="120" w:beforeLines="50" w:after="120" w:afterLines="50" w:line="300" w:lineRule="auto"/>
      </w:pPr>
      <w:r>
        <w:rPr>
          <w:rFonts w:hint="eastAsia"/>
        </w:rPr>
        <w:t>Introduce more flexible subband SD bases selection (for each layer, the subband SD basis is determined by the wideband SD basis and an offset).</w:t>
      </w:r>
    </w:p>
    <w:p>
      <w:pPr>
        <w:numPr>
          <w:ilvl w:val="0"/>
          <w:numId w:val="10"/>
        </w:numPr>
        <w:snapToGrid w:val="0"/>
        <w:spacing w:before="120" w:beforeLines="50" w:after="120" w:afterLines="50" w:line="300" w:lineRule="auto"/>
      </w:pPr>
      <w:r>
        <w:rPr>
          <w:rFonts w:hint="eastAsia"/>
        </w:rPr>
        <w:t>Option 2: linear combination codebook (the precoding matrix of each layer is based on a combination of multiple SD bases), e.g.:</w:t>
      </w:r>
    </w:p>
    <w:p>
      <w:pPr>
        <w:numPr>
          <w:ilvl w:val="1"/>
          <w:numId w:val="10"/>
        </w:numPr>
        <w:snapToGrid w:val="0"/>
        <w:spacing w:before="120" w:beforeLines="50" w:after="120" w:afterLines="50" w:line="300" w:lineRule="auto"/>
      </w:pPr>
      <w:r>
        <w:rPr>
          <w:rFonts w:hint="eastAsia"/>
        </w:rPr>
        <w:t>Both the SD basses and the combination coefficients are wideband;</w:t>
      </w:r>
    </w:p>
    <w:p>
      <w:pPr>
        <w:numPr>
          <w:ilvl w:val="1"/>
          <w:numId w:val="10"/>
        </w:numPr>
        <w:snapToGrid w:val="0"/>
        <w:spacing w:before="120" w:beforeLines="50" w:after="120" w:afterLines="50" w:line="300" w:lineRule="auto"/>
      </w:pPr>
      <w:r>
        <w:rPr>
          <w:rFonts w:hint="eastAsia"/>
        </w:rPr>
        <w:t>Different types of polarization share a common set of combination coefficients;</w:t>
      </w:r>
    </w:p>
    <w:p>
      <w:pPr>
        <w:numPr>
          <w:ilvl w:val="1"/>
          <w:numId w:val="10"/>
        </w:numPr>
        <w:snapToGrid w:val="0"/>
        <w:spacing w:before="120" w:beforeLines="50" w:after="120" w:afterLines="50" w:line="300" w:lineRule="auto"/>
      </w:pPr>
      <w:r>
        <w:rPr>
          <w:rFonts w:hint="eastAsia"/>
        </w:rPr>
        <w:t>The difference between two types of polarization is reflected by additional inter-polarization information, e.g., inter-polarization phase.</w:t>
      </w:r>
    </w:p>
    <w:p>
      <w:pPr>
        <w:tabs>
          <w:tab w:val="left" w:pos="7938"/>
        </w:tabs>
        <w:snapToGrid w:val="0"/>
        <w:spacing w:before="240" w:after="120" w:afterLines="50" w:line="240" w:lineRule="auto"/>
        <w:outlineLvl w:val="2"/>
        <w:rPr>
          <w:bCs/>
          <w:kern w:val="2"/>
          <w:szCs w:val="20"/>
        </w:rPr>
      </w:pPr>
      <w:r>
        <w:rPr>
          <w:b/>
          <w:bCs/>
          <w:sz w:val="21"/>
          <w:szCs w:val="21"/>
        </w:rPr>
        <w:t>2.2.1 Structural codebook</w:t>
      </w:r>
    </w:p>
    <w:p>
      <w:pPr>
        <w:snapToGrid w:val="0"/>
        <w:spacing w:before="72" w:beforeLines="30" w:after="72" w:afterLines="30"/>
        <w:textAlignment w:val="baseline"/>
      </w:pPr>
      <w:r>
        <w:rPr>
          <w:rFonts w:hint="eastAsia"/>
        </w:rPr>
        <w:t>Option 1 maintains the basic structure of Rel-15 Type-I codebook, i.e., the precoding matrix of each layer is based on a SD basis and an inter-polarization phase. Figures 2 shows the throughput gain by adopting Rel-15 Type-I codebook and directly increasing the number of antenna ports to 64 and 128. It is observed that the increase of antenna port numbers can bring significant throughput gain.</w:t>
      </w:r>
    </w:p>
    <w:p>
      <w:pPr>
        <w:snapToGrid w:val="0"/>
        <w:spacing w:before="72" w:beforeLines="30" w:after="72" w:afterLines="30" w:line="300" w:lineRule="auto"/>
        <w:jc w:val="center"/>
        <w:textAlignment w:val="center"/>
      </w:pPr>
      <w:r>
        <w:drawing>
          <wp:inline distT="0" distB="0" distL="114300" distR="114300">
            <wp:extent cx="2952115" cy="1714500"/>
            <wp:effectExtent l="4445" t="4445" r="15240" b="18415"/>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napToGrid w:val="0"/>
        <w:spacing w:before="72" w:beforeLines="30" w:after="72" w:afterLines="30"/>
        <w:jc w:val="center"/>
        <w:textAlignment w:val="baseline"/>
      </w:pPr>
      <w:r>
        <w:rPr>
          <w:rFonts w:hint="eastAsia"/>
          <w:b/>
          <w:bCs/>
        </w:rPr>
        <w:t>Figure 2</w:t>
      </w:r>
      <w:r>
        <w:rPr>
          <w:rFonts w:hint="eastAsia"/>
        </w:rPr>
        <w:t xml:space="preserve"> DL throughput gain (Type</w:t>
      </w:r>
      <w:r>
        <w:t>-</w:t>
      </w:r>
      <w:r>
        <w:rPr>
          <w:rFonts w:hint="eastAsia"/>
        </w:rPr>
        <w:t>I) in SU-MIMO scenario with 32, 64 and 128 ports</w:t>
      </w:r>
    </w:p>
    <w:p>
      <w:pPr>
        <w:snapToGrid w:val="0"/>
        <w:spacing w:before="72" w:beforeLines="30" w:after="72" w:afterLines="30"/>
        <w:textAlignment w:val="baseline"/>
        <w:rPr>
          <w:i/>
          <w:iCs/>
        </w:rPr>
      </w:pPr>
      <w:r>
        <w:rPr>
          <w:rFonts w:hint="eastAsia"/>
          <w:b/>
          <w:bCs/>
          <w:i/>
          <w:iCs/>
        </w:rPr>
        <w:t xml:space="preserve">Observation </w:t>
      </w:r>
      <w:r>
        <w:rPr>
          <w:b/>
          <w:bCs/>
          <w:i/>
          <w:iCs/>
        </w:rPr>
        <w:t>2</w:t>
      </w:r>
      <w:r>
        <w:rPr>
          <w:rFonts w:hint="eastAsia"/>
          <w:b/>
          <w:bCs/>
          <w:i/>
          <w:iCs/>
        </w:rPr>
        <w:t>:</w:t>
      </w:r>
      <w:r>
        <w:rPr>
          <w:rFonts w:hint="eastAsia"/>
          <w:i/>
          <w:iCs/>
        </w:rPr>
        <w:t xml:space="preserve"> Significant throughput gain can be obtained by maintaining the Rel-15 Type-I codebook structure and directly increasing the number of antenna ports.</w:t>
      </w:r>
    </w:p>
    <w:p>
      <w:pPr>
        <w:snapToGrid w:val="0"/>
        <w:spacing w:before="72" w:beforeLines="30" w:after="72" w:afterLines="30"/>
        <w:textAlignment w:val="baseline"/>
      </w:pPr>
      <w:r>
        <w:rPr>
          <w:rFonts w:hint="eastAsia"/>
        </w:rPr>
        <w:t xml:space="preserve">However, for Rel-15 Type-I codebook, the selection of SD bases is not flexible enough. Basically, the SD bases are selected by determining a reference basis (indicated by </w:t>
      </w: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1,1</m:t>
            </m:r>
            <m:ctrlPr>
              <w:rPr>
                <w:rFonts w:ascii="Cambria Math" w:hAnsi="Cambria Math"/>
                <w:i/>
              </w:rPr>
            </m:ctrlPr>
          </m:sub>
        </m:sSub>
      </m:oMath>
      <w:r>
        <w:rPr>
          <w:rFonts w:hint="eastAsia" w:hAnsi="Cambria Math"/>
        </w:rPr>
        <w:t xml:space="preserve"> and </w:t>
      </w: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1,2</m:t>
            </m:r>
            <m:ctrlPr>
              <w:rPr>
                <w:rFonts w:ascii="Cambria Math" w:hAnsi="Cambria Math"/>
                <w:i/>
              </w:rPr>
            </m:ctrlPr>
          </m:sub>
        </m:sSub>
      </m:oMath>
      <w:r>
        <w:rPr>
          <w:rFonts w:hint="eastAsia"/>
        </w:rPr>
        <w:t xml:space="preserve">) and one or more offset(s) (variable offset(s) for rank 1~4 which are indicated by </w:t>
      </w: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1,3</m:t>
            </m:r>
            <m:ctrlPr>
              <w:rPr>
                <w:rFonts w:ascii="Cambria Math" w:hAnsi="Cambria Math"/>
                <w:i/>
              </w:rPr>
            </m:ctrlPr>
          </m:sub>
        </m:sSub>
      </m:oMath>
      <w:r>
        <w:rPr>
          <w:rFonts w:hint="eastAsia" w:hAnsi="Cambria Math"/>
        </w:rPr>
        <w:t>, or fixed offsets</w:t>
      </w:r>
      <w:r>
        <w:rPr>
          <w:rFonts w:hint="eastAsia"/>
        </w:rPr>
        <w:t xml:space="preserve"> for rank 5~8). Such SD bases selection mechanism limits that the selected SD bases </w:t>
      </w:r>
      <w:r>
        <w:t xml:space="preserve">should be adjacent </w:t>
      </w:r>
      <w:r>
        <w:rPr>
          <w:rFonts w:hint="eastAsia"/>
        </w:rPr>
        <w:t>in the spa</w:t>
      </w:r>
      <w:r>
        <w:t>tial domain</w:t>
      </w:r>
      <w:r>
        <w:rPr>
          <w:rFonts w:hint="eastAsia"/>
        </w:rPr>
        <w:t xml:space="preserve">. When the number of antenna ports is small, e.g. &lt;32, this limitation may not influence the transmission performance, because the </w:t>
      </w:r>
      <w:r>
        <w:t>dominant cluster(s) may be distributed in a given spatial area</w:t>
      </w:r>
      <w:r>
        <w:rPr>
          <w:rFonts w:hint="eastAsia"/>
        </w:rPr>
        <w:t xml:space="preserve"> and the beam width is broad. As the number of antenna ports increases, the </w:t>
      </w:r>
      <w:r>
        <w:t>narrow</w:t>
      </w:r>
      <w:r>
        <w:rPr>
          <w:rFonts w:hint="eastAsia"/>
        </w:rPr>
        <w:t xml:space="preserve"> SD bases may not match the widely spread clusters, and thus leads to the transmission performance degradation. One straightforward solution to address this issue is to select the SD bases independently for different layers. For instance, the following SD bases selection procedure can be adopted:</w:t>
      </w:r>
    </w:p>
    <w:p>
      <w:pPr>
        <w:numPr>
          <w:ilvl w:val="0"/>
          <w:numId w:val="10"/>
        </w:numPr>
        <w:snapToGrid w:val="0"/>
        <w:spacing w:before="120" w:beforeLines="50" w:after="120" w:afterLines="50" w:line="300" w:lineRule="auto"/>
      </w:pPr>
      <w:r>
        <w:rPr>
          <w:rFonts w:hint="eastAsia"/>
        </w:rPr>
        <w:t xml:space="preserve">Step 1: select a pair of indices </w:t>
      </w:r>
      <m:oMath>
        <m:r>
          <m:rPr>
            <m:sty m:val="p"/>
          </m:rPr>
          <w:rPr>
            <w:rFonts w:hint="eastAsia" w:ascii="Cambria Math" w:hAnsi="Cambria Math"/>
          </w:rPr>
          <m:t>(</m:t>
        </m:r>
        <m:sSub>
          <m:sSubPr>
            <m:ctrlPr>
              <w:rPr>
                <w:rFonts w:hint="eastAsia" w:ascii="Cambria Math" w:hAnsi="Cambria Math"/>
              </w:rPr>
            </m:ctrlPr>
          </m:sSubPr>
          <m:e>
            <m:r>
              <m:rPr/>
              <w:rPr>
                <w:rFonts w:ascii="Cambria Math" w:hAnsi="Cambria Math"/>
              </w:rPr>
              <m:t>q</m:t>
            </m:r>
            <m:ctrlPr>
              <w:rPr>
                <w:rFonts w:hint="eastAsia" w:ascii="Cambria Math" w:hAnsi="Cambria Math"/>
              </w:rPr>
            </m:ctrlPr>
          </m:e>
          <m:sub>
            <m:r>
              <m:rPr>
                <m:sty m:val="p"/>
              </m:rPr>
              <w:rPr>
                <w:rFonts w:ascii="Cambria Math" w:hAnsi="Cambria Math"/>
              </w:rPr>
              <m:t>1</m:t>
            </m:r>
            <m:ctrlPr>
              <w:rPr>
                <w:rFonts w:hint="eastAsia" w:ascii="Cambria Math" w:hAnsi="Cambria Math"/>
              </w:rPr>
            </m:ctrlPr>
          </m:sub>
        </m:sSub>
        <m:r>
          <m:rPr>
            <m:sty m:val="p"/>
          </m:rPr>
          <w:rPr>
            <w:rFonts w:hint="eastAsia" w:ascii="Cambria Math" w:hAnsi="Cambria Math"/>
          </w:rPr>
          <m:t xml:space="preserve">, </m:t>
        </m:r>
        <m:sSub>
          <m:sSubPr>
            <m:ctrlPr>
              <w:rPr>
                <w:rFonts w:hint="eastAsia" w:ascii="Cambria Math" w:hAnsi="Cambria Math"/>
              </w:rPr>
            </m:ctrlPr>
          </m:sSubPr>
          <m:e>
            <m:r>
              <m:rPr/>
              <w:rPr>
                <w:rFonts w:ascii="Cambria Math" w:hAnsi="Cambria Math"/>
              </w:rPr>
              <m:t>q</m:t>
            </m:r>
            <m:ctrlPr>
              <w:rPr>
                <w:rFonts w:hint="eastAsia" w:ascii="Cambria Math" w:hAnsi="Cambria Math"/>
              </w:rPr>
            </m:ctrlPr>
          </m:e>
          <m:sub>
            <m:r>
              <m:rPr>
                <m:sty m:val="p"/>
              </m:rPr>
              <w:rPr>
                <w:rFonts w:ascii="Cambria Math" w:hAnsi="Cambria Math"/>
              </w:rPr>
              <m:t>2</m:t>
            </m:r>
            <m:ctrlPr>
              <w:rPr>
                <w:rFonts w:hint="eastAsia" w:ascii="Cambria Math" w:hAnsi="Cambria Math"/>
              </w:rPr>
            </m:ctrlPr>
          </m:sub>
        </m:sSub>
        <m:r>
          <m:rPr>
            <m:sty m:val="p"/>
          </m:rPr>
          <w:rPr>
            <w:rFonts w:hint="eastAsia" w:ascii="Cambria Math" w:hAnsi="Cambria Math"/>
          </w:rPr>
          <m:t>)</m:t>
        </m:r>
      </m:oMath>
      <w:r>
        <w:rPr>
          <w:rFonts w:hint="eastAsia"/>
        </w:rPr>
        <w:t>;</w:t>
      </w:r>
    </w:p>
    <w:p>
      <w:pPr>
        <w:numPr>
          <w:ilvl w:val="0"/>
          <w:numId w:val="10"/>
        </w:numPr>
        <w:snapToGrid w:val="0"/>
        <w:spacing w:before="120" w:beforeLines="50" w:after="120" w:afterLines="50" w:line="300" w:lineRule="auto"/>
      </w:pPr>
      <w:r>
        <w:rPr>
          <w:rFonts w:hint="eastAsia"/>
        </w:rPr>
        <w:t xml:space="preserve">Step 2: select </w:t>
      </w:r>
      <w:r>
        <w:rPr>
          <w:rFonts w:hint="eastAsia"/>
          <w:i/>
          <w:iCs/>
        </w:rPr>
        <w:t>L</w:t>
      </w:r>
      <w:r>
        <w:rPr>
          <w:rFonts w:hint="eastAsia"/>
        </w:rPr>
        <w:t xml:space="preserve"> pairs of indices </w:t>
      </w:r>
      <m:oMath>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(i)</m:t>
                </m:r>
                <m:ctrlPr>
                  <w:rPr>
                    <w:rFonts w:ascii="Cambria Math" w:hAnsi="Cambria Math"/>
                    <w:i/>
                  </w:rPr>
                </m:ctrlPr>
              </m:sup>
            </m:sSubSup>
            <m:ctrlPr>
              <w:rPr>
                <w:rFonts w:ascii="Cambria Math" w:hAnsi="Cambria Math"/>
                <w:i/>
              </w:rPr>
            </m:ctrlPr>
          </m:e>
        </m:d>
        <m:r>
          <m:rPr/>
          <w:rPr>
            <w:rFonts w:ascii="Cambria Math" w:hAnsi="Cambria Math"/>
          </w:rPr>
          <m:t>, i=0, 1, ..., L−1</m:t>
        </m:r>
      </m:oMath>
      <w:r>
        <w:rPr>
          <w:rFonts w:hint="eastAsia" w:hAnsi="Cambria Math"/>
        </w:rPr>
        <w:t xml:space="preserve">, where </w:t>
      </w:r>
      <m:oMath>
        <m:d>
          <m:dPr>
            <m:ctrlPr>
              <w:rPr>
                <w:rFonts w:ascii="Cambria Math" w:hAnsi="Cambria Math"/>
                <w:i/>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(i)</m:t>
                </m:r>
                <m:ctrlPr>
                  <w:rPr>
                    <w:rFonts w:ascii="Cambria Math" w:hAnsi="Cambria Math"/>
                    <w:i/>
                  </w:rPr>
                </m:ctrlPr>
              </m:sup>
            </m:sSubSup>
            <m:ctrlPr>
              <w:rPr>
                <w:rFonts w:ascii="Cambria Math" w:hAnsi="Cambria Math"/>
                <w:i/>
              </w:rPr>
            </m:ctrlPr>
          </m:e>
        </m:d>
      </m:oMath>
      <w:r>
        <w:rPr>
          <w:rFonts w:hint="eastAsia" w:hAnsi="Cambria Math"/>
        </w:rPr>
        <w:t xml:space="preserve"> are indicated by a combination number;</w:t>
      </w:r>
    </w:p>
    <w:p>
      <w:pPr>
        <w:numPr>
          <w:ilvl w:val="0"/>
          <w:numId w:val="10"/>
        </w:numPr>
        <w:snapToGrid w:val="0"/>
        <w:spacing w:before="120" w:beforeLines="50" w:after="120" w:afterLines="50" w:line="300" w:lineRule="auto"/>
      </w:pPr>
      <w:r>
        <w:rPr>
          <w:rFonts w:hint="eastAsia"/>
        </w:rPr>
        <w:t xml:space="preserve">Step 3: the </w:t>
      </w:r>
      <w:r>
        <w:rPr>
          <w:rFonts w:hint="eastAsia"/>
          <w:i/>
          <w:iCs/>
        </w:rPr>
        <w:t>L</w:t>
      </w:r>
      <w:r>
        <w:rPr>
          <w:rFonts w:hint="eastAsia"/>
        </w:rPr>
        <w:t xml:space="preserve"> selected SD bases are determined as </w:t>
      </w:r>
      <m:oMath>
        <m:sSub>
          <m:sSubPr>
            <m:ctrlPr>
              <w:rPr>
                <w:rFonts w:ascii="Cambria Math" w:hAnsi="Cambria Math"/>
                <w:i/>
              </w:rPr>
            </m:ctrlPr>
          </m:sSubPr>
          <m:e>
            <m:r>
              <m:rPr/>
              <w:rPr>
                <w:rFonts w:ascii="Cambria Math" w:hAnsi="Cambria Math"/>
              </w:rPr>
              <m:t>v</m:t>
            </m:r>
            <m:ctrlPr>
              <w:rPr>
                <w:rFonts w:ascii="Cambria Math" w:hAnsi="Cambria Math"/>
                <w:i/>
              </w:rPr>
            </m:ctrlPr>
          </m:e>
          <m:sub>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 xml:space="preserve">, </m:t>
            </m:r>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2</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 xml:space="preserve"> </m:t>
            </m:r>
            <m:ctrlPr>
              <w:rPr>
                <w:rFonts w:ascii="Cambria Math" w:hAnsi="Cambria Math"/>
                <w:i/>
              </w:rPr>
            </m:ctrlPr>
          </m:sub>
        </m:sSub>
      </m:oMath>
      <w:r>
        <w:rPr>
          <w:rFonts w:hint="eastAsia" w:hAnsi="Cambria Math"/>
        </w:rPr>
        <w:t xml:space="preserve">, where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m:t>
        </m:r>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1</m:t>
            </m:r>
            <m:ctrlPr>
              <w:rPr>
                <w:rFonts w:ascii="Cambria Math" w:hAnsi="Cambria Math"/>
                <w:i/>
              </w:rPr>
            </m:ctrlPr>
          </m:sub>
        </m:sSub>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m:t>
        </m:r>
        <m:sSub>
          <m:sSubPr>
            <m:ctrlPr>
              <w:rPr>
                <w:rFonts w:hint="eastAsia" w:ascii="Cambria Math" w:hAnsi="Cambria Math"/>
              </w:rPr>
            </m:ctrlPr>
          </m:sSubPr>
          <m:e>
            <m:r>
              <m:rPr/>
              <w:rPr>
                <w:rFonts w:ascii="Cambria Math" w:hAnsi="Cambria Math"/>
              </w:rPr>
              <m:t>q</m:t>
            </m:r>
            <m:ctrlPr>
              <w:rPr>
                <w:rFonts w:hint="eastAsia" w:ascii="Cambria Math" w:hAnsi="Cambria Math"/>
              </w:rPr>
            </m:ctrlPr>
          </m:e>
          <m:sub>
            <m:r>
              <m:rPr>
                <m:sty m:val="p"/>
              </m:rPr>
              <w:rPr>
                <w:rFonts w:ascii="Cambria Math" w:hAnsi="Cambria Math"/>
              </w:rPr>
              <m:t>1</m:t>
            </m:r>
            <m:ctrlPr>
              <w:rPr>
                <w:rFonts w:hint="eastAsia" w:ascii="Cambria Math" w:hAnsi="Cambria Math"/>
              </w:rPr>
            </m:ctrlPr>
          </m:sub>
        </m:sSub>
      </m:oMath>
      <w:r>
        <w:rPr>
          <w:rFonts w:hint="eastAsia" w:hAnsi="Cambria Math"/>
        </w:rPr>
        <w:t xml:space="preserve"> and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2</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m:t>
        </m:r>
        <m:sSub>
          <m:sSubPr>
            <m:ctrlPr>
              <w:rPr>
                <w:rFonts w:ascii="Cambria Math" w:hAnsi="Cambria Math"/>
                <w:i/>
              </w:rPr>
            </m:ctrlPr>
          </m:sSubPr>
          <m:e>
            <m:r>
              <m:rPr/>
              <w:rPr>
                <w:rFonts w:ascii="Cambria Math" w:hAnsi="Cambria Math"/>
              </w:rPr>
              <m:t>O</m:t>
            </m:r>
            <m:ctrlPr>
              <w:rPr>
                <w:rFonts w:ascii="Cambria Math" w:hAnsi="Cambria Math"/>
                <w:i/>
              </w:rPr>
            </m:ctrlPr>
          </m:e>
          <m:sub>
            <m:r>
              <m:rPr/>
              <w:rPr>
                <w:rFonts w:ascii="Cambria Math" w:hAnsi="Cambria Math"/>
              </w:rPr>
              <m:t>2</m:t>
            </m:r>
            <m:ctrlPr>
              <w:rPr>
                <w:rFonts w:ascii="Cambria Math" w:hAnsi="Cambria Math"/>
                <w:i/>
              </w:rPr>
            </m:ctrlPr>
          </m:sub>
        </m:sSub>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m:t>
        </m:r>
        <m:sSub>
          <m:sSubPr>
            <m:ctrlPr>
              <w:rPr>
                <w:rFonts w:hint="eastAsia" w:ascii="Cambria Math" w:hAnsi="Cambria Math"/>
              </w:rPr>
            </m:ctrlPr>
          </m:sSubPr>
          <m:e>
            <m:r>
              <m:rPr/>
              <w:rPr>
                <w:rFonts w:ascii="Cambria Math" w:hAnsi="Cambria Math"/>
              </w:rPr>
              <m:t>q</m:t>
            </m:r>
            <m:ctrlPr>
              <w:rPr>
                <w:rFonts w:hint="eastAsia" w:ascii="Cambria Math" w:hAnsi="Cambria Math"/>
              </w:rPr>
            </m:ctrlPr>
          </m:e>
          <m:sub>
            <m:r>
              <m:rPr>
                <m:sty m:val="p"/>
              </m:rPr>
              <w:rPr>
                <w:rFonts w:ascii="Cambria Math" w:hAnsi="Cambria Math"/>
              </w:rPr>
              <m:t>2</m:t>
            </m:r>
            <m:ctrlPr>
              <w:rPr>
                <w:rFonts w:hint="eastAsia" w:ascii="Cambria Math" w:hAnsi="Cambria Math"/>
              </w:rPr>
            </m:ctrlPr>
          </m:sub>
        </m:sSub>
      </m:oMath>
      <w:r>
        <w:rPr>
          <w:rFonts w:hint="eastAsia" w:hAnsi="Cambria Math"/>
        </w:rPr>
        <w:t>.</w:t>
      </w:r>
    </w:p>
    <w:p>
      <w:pPr>
        <w:snapToGrid w:val="0"/>
        <w:spacing w:before="72" w:beforeLines="30" w:after="72" w:afterLines="30" w:line="300" w:lineRule="auto"/>
        <w:textAlignment w:val="center"/>
      </w:pPr>
      <w:r>
        <w:rPr>
          <w:rFonts w:hint="eastAsia"/>
        </w:rPr>
        <w:t>The above SD bases selection method is very similar to that adopted in Type-II/e-Type-II codebook. But the difference is that, here</w:t>
      </w:r>
      <w:r>
        <w:t>in</w:t>
      </w:r>
      <w:r>
        <w:rPr>
          <w:rFonts w:hint="eastAsia"/>
        </w:rPr>
        <w:t xml:space="preserve"> each of the selected SD basis is used for a corresponding layer.</w:t>
      </w:r>
      <w:r>
        <w:t xml:space="preserve"> Besides, the SD bases selection may depend on the configured </w:t>
      </w:r>
      <w:r>
        <w:rPr>
          <w:i/>
        </w:rPr>
        <w:t>codebookSubsetRestriction</w:t>
      </w:r>
      <w:r>
        <w:t xml:space="preserve">. Besides, the SD bases selection may depend on the configured </w:t>
      </w:r>
      <w:r>
        <w:rPr>
          <w:i/>
        </w:rPr>
        <w:t>codebookSubsetRestriction</w:t>
      </w:r>
      <w:r>
        <w:t>. After the SD bases selection, further enhancement may be needed to associate the selected SD bases with the respective layers or inter-polarization phases.</w:t>
      </w:r>
    </w:p>
    <w:p>
      <w:pPr>
        <w:snapToGrid w:val="0"/>
        <w:spacing w:before="72" w:beforeLines="30" w:after="72" w:afterLines="30" w:line="300" w:lineRule="auto"/>
        <w:textAlignment w:val="center"/>
      </w:pPr>
      <w:r>
        <w:rPr>
          <w:rFonts w:hint="eastAsia"/>
        </w:rPr>
        <w:t xml:space="preserve">Note that, the above discussion is for wideband SD bases selection. In additional, more flexible subband SD basis selection can be considered. In Rel-15 Type-I codebook, the subband SD basis selection is only supported for rank 1~2, when the </w:t>
      </w:r>
      <w:r>
        <w:rPr>
          <w:rFonts w:hint="eastAsia"/>
          <w:i/>
          <w:iCs/>
        </w:rPr>
        <w:t xml:space="preserve">codebookMode </w:t>
      </w:r>
      <w:r>
        <w:rPr>
          <w:rFonts w:hint="eastAsia"/>
        </w:rPr>
        <w:t xml:space="preserve">is set to 2. The subband SD basis is selected by adding an offset to the wideband SD basis. However, the range of the offset is very limited. This could be a significant drawback when the number of antenna ports is increased, because the best beam may </w:t>
      </w:r>
      <w:r>
        <w:t>vary</w:t>
      </w:r>
      <w:r>
        <w:rPr>
          <w:rFonts w:hint="eastAsia"/>
        </w:rPr>
        <w:t xml:space="preserve"> a lot across different subbands due to the narrow beam width. Therefore, more flexible subband SD basis selection is essentially needed, e.g., support subband SD basis selection for at least rank 1~4, and extend the range of subband SD basis offset.</w:t>
      </w:r>
    </w:p>
    <w:p>
      <w:pPr>
        <w:snapToGrid w:val="0"/>
        <w:spacing w:before="72" w:beforeLines="30" w:after="72" w:afterLines="30"/>
        <w:textAlignment w:val="baseline"/>
        <w:rPr>
          <w:i/>
          <w:iCs/>
        </w:rPr>
      </w:pPr>
      <w:r>
        <w:rPr>
          <w:rFonts w:hint="eastAsia"/>
          <w:b/>
          <w:bCs/>
          <w:i/>
          <w:iCs/>
        </w:rPr>
        <w:t xml:space="preserve">Proposal </w:t>
      </w:r>
      <w:r>
        <w:rPr>
          <w:b/>
          <w:bCs/>
          <w:i/>
          <w:iCs/>
        </w:rPr>
        <w:t>5</w:t>
      </w:r>
      <w:r>
        <w:rPr>
          <w:rFonts w:hint="eastAsia"/>
          <w:b/>
          <w:bCs/>
          <w:i/>
          <w:iCs/>
        </w:rPr>
        <w:t>:</w:t>
      </w:r>
      <w:r>
        <w:rPr>
          <w:rFonts w:hint="eastAsia"/>
          <w:i/>
          <w:iCs/>
        </w:rPr>
        <w:t xml:space="preserve"> Re</w:t>
      </w:r>
      <w:r>
        <w:rPr>
          <w:i/>
          <w:iCs/>
        </w:rPr>
        <w:t>garding structural codebook based</w:t>
      </w:r>
      <w:r>
        <w:rPr>
          <w:rFonts w:hint="eastAsia"/>
          <w:i/>
          <w:iCs/>
        </w:rPr>
        <w:t xml:space="preserve"> Rel-19</w:t>
      </w:r>
      <w:r>
        <w:rPr>
          <w:i/>
          <w:iCs/>
        </w:rPr>
        <w:t xml:space="preserve"> Type-I </w:t>
      </w:r>
      <w:r>
        <w:rPr>
          <w:rFonts w:hint="eastAsia"/>
          <w:i/>
          <w:iCs/>
        </w:rPr>
        <w:t>codebook refinement</w:t>
      </w:r>
      <w:r>
        <w:rPr>
          <w:i/>
          <w:iCs/>
        </w:rPr>
        <w:t>, the following</w:t>
      </w:r>
      <w:r>
        <w:rPr>
          <w:rFonts w:hint="eastAsia"/>
          <w:i/>
          <w:iCs/>
        </w:rPr>
        <w:t>s</w:t>
      </w:r>
      <w:r>
        <w:rPr>
          <w:i/>
          <w:iCs/>
        </w:rPr>
        <w:t xml:space="preserve"> can be considered</w:t>
      </w:r>
      <w:r>
        <w:rPr>
          <w:rFonts w:hint="eastAsia"/>
          <w:i/>
          <w:iCs/>
        </w:rPr>
        <w:t>:</w:t>
      </w:r>
    </w:p>
    <w:p>
      <w:pPr>
        <w:numPr>
          <w:ilvl w:val="0"/>
          <w:numId w:val="10"/>
        </w:numPr>
        <w:snapToGrid w:val="0"/>
        <w:spacing w:before="120" w:beforeLines="50" w:after="120" w:afterLines="50" w:line="300" w:lineRule="auto"/>
        <w:rPr>
          <w:i/>
          <w:iCs/>
        </w:rPr>
      </w:pPr>
      <w:r>
        <w:rPr>
          <w:rFonts w:hint="eastAsia"/>
          <w:i/>
          <w:iCs/>
        </w:rPr>
        <w:t>Independently wideband SD bases selection for different layers;</w:t>
      </w:r>
    </w:p>
    <w:p>
      <w:pPr>
        <w:numPr>
          <w:ilvl w:val="0"/>
          <w:numId w:val="10"/>
        </w:numPr>
        <w:snapToGrid w:val="0"/>
        <w:spacing w:before="120" w:beforeLines="50" w:after="120" w:afterLines="50" w:line="300" w:lineRule="auto"/>
        <w:rPr>
          <w:rFonts w:eastAsia="微软雅黑"/>
          <w:szCs w:val="20"/>
        </w:rPr>
      </w:pPr>
      <w:r>
        <w:rPr>
          <w:rFonts w:hint="eastAsia"/>
          <w:i/>
          <w:iCs/>
        </w:rPr>
        <w:t>More flexible subband SD basis selection, e.g., support subband SD basis selection for at least rank 1~4, and extend the range of SD basis selection.</w:t>
      </w:r>
    </w:p>
    <w:p>
      <w:pPr>
        <w:tabs>
          <w:tab w:val="left" w:pos="7938"/>
        </w:tabs>
        <w:snapToGrid w:val="0"/>
        <w:spacing w:before="240" w:after="120" w:afterLines="50" w:line="240" w:lineRule="auto"/>
        <w:outlineLvl w:val="2"/>
        <w:rPr>
          <w:bCs/>
          <w:kern w:val="2"/>
          <w:szCs w:val="20"/>
        </w:rPr>
      </w:pPr>
      <w:r>
        <w:rPr>
          <w:b/>
          <w:bCs/>
          <w:sz w:val="21"/>
          <w:szCs w:val="21"/>
        </w:rPr>
        <w:t>2.2.2 Linear combination codebook</w:t>
      </w:r>
      <w:r>
        <w:rPr>
          <w:rFonts w:hint="eastAsia"/>
          <w:b/>
          <w:bCs/>
          <w:sz w:val="21"/>
          <w:szCs w:val="21"/>
        </w:rPr>
        <w:t xml:space="preserve"> </w:t>
      </w:r>
      <w:r>
        <w:rPr>
          <w:b/>
          <w:bCs/>
          <w:sz w:val="21"/>
          <w:szCs w:val="21"/>
        </w:rPr>
        <w:t>targeting MU-MIMO</w:t>
      </w:r>
    </w:p>
    <w:p>
      <w:pPr>
        <w:snapToGrid w:val="0"/>
        <w:spacing w:before="72" w:beforeLines="30" w:after="72" w:afterLines="30"/>
        <w:textAlignment w:val="baseline"/>
      </w:pPr>
      <w:r>
        <w:rPr>
          <w:rFonts w:hint="eastAsia"/>
        </w:rPr>
        <w:t xml:space="preserve">As well-known, Type-I codebook is designed for SU-MIMO. However, due to </w:t>
      </w:r>
      <w:r>
        <w:t>UE implementation complexity and higher report overhead</w:t>
      </w:r>
      <w:r>
        <w:rPr>
          <w:rFonts w:hint="eastAsia"/>
        </w:rPr>
        <w:t xml:space="preserve">, the Type-II or eType-II codebooks oriented for MU-MIMO have not be used commercially. To facilitate the deployment of MU-MIMO, option 2 provides a potential solution. In option 2, the precoding matrix of each layer is based on a combination of multiple SD bases. </w:t>
      </w:r>
    </w:p>
    <w:p>
      <w:pPr>
        <w:pStyle w:val="112"/>
        <w:numPr>
          <w:ilvl w:val="0"/>
          <w:numId w:val="11"/>
        </w:numPr>
        <w:snapToGrid w:val="0"/>
        <w:spacing w:before="72" w:beforeLines="30" w:after="72" w:afterLines="30"/>
        <w:ind w:firstLineChars="0"/>
        <w:textAlignment w:val="baseline"/>
      </w:pPr>
      <w:r>
        <w:rPr>
          <w:rFonts w:hint="eastAsia"/>
        </w:rPr>
        <w:t xml:space="preserve">Further, both the SD bases and combination coefficients can be determined in wideband level. Across the two types of polarization, the same combination coefficients can be used, and the difference can be reflected by inter-polarization information, e.g. inter-polarization phase. </w:t>
      </w:r>
      <w:r>
        <w:t xml:space="preserve">The precoding matrix for the </w:t>
      </w:r>
      <w:r>
        <w:rPr>
          <w:i/>
        </w:rPr>
        <w:t>l</w:t>
      </w:r>
      <w:r>
        <w:t>th layer can be expressed as</w:t>
      </w:r>
    </w:p>
    <w:p>
      <w:pPr>
        <w:pStyle w:val="112"/>
        <w:snapToGrid w:val="0"/>
        <w:spacing w:before="72" w:beforeLines="30" w:after="72" w:afterLines="30"/>
        <w:ind w:left="1120" w:firstLine="0" w:firstLineChars="0"/>
        <w:textAlignment w:val="baseline"/>
      </w:pPr>
      <m:oMathPara>
        <m:oMath>
          <m:sSup>
            <m:sSupPr>
              <m:ctrlPr>
                <w:rPr>
                  <w:rFonts w:ascii="Cambria Math" w:hAnsi="Cambria Math"/>
                  <w:i/>
                </w:rPr>
              </m:ctrlPr>
            </m:sSupPr>
            <m:e>
              <m:r>
                <m:rPr/>
                <w:rPr>
                  <w:rFonts w:ascii="Cambria Math" w:hAnsi="Cambria Math"/>
                </w:rPr>
                <m:t>W</m:t>
              </m:r>
              <m:ctrlPr>
                <w:rPr>
                  <w:rFonts w:ascii="Cambria Math" w:hAnsi="Cambria Math"/>
                  <w:i/>
                </w:rPr>
              </m:ctrlPr>
            </m:e>
            <m:sup>
              <m:r>
                <m:rPr/>
                <w:rPr>
                  <w:rFonts w:ascii="Cambria Math" w:hAnsi="Cambria Math"/>
                </w:rPr>
                <m:t>l</m:t>
              </m:r>
              <m:ctrlPr>
                <w:rPr>
                  <w:rFonts w:ascii="Cambria Math" w:hAnsi="Cambria Math"/>
                  <w:i/>
                </w:rPr>
              </m:ctrlPr>
            </m:sup>
          </m:sSup>
          <m:r>
            <m:rP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nary>
                      <m:naryPr>
                        <m:chr m:val="∑"/>
                        <m:limLoc m:val="undOvr"/>
                        <m:ctrlPr>
                          <w:rPr>
                            <w:rFonts w:ascii="Cambria Math" w:hAnsi="Cambria Math"/>
                            <w:i/>
                          </w:rPr>
                        </m:ctrlPr>
                      </m:naryPr>
                      <m:sub>
                        <m:r>
                          <m:rPr/>
                          <w:rPr>
                            <w:rFonts w:ascii="Cambria Math" w:hAnsi="Cambria Math"/>
                          </w:rPr>
                          <m:t>i=0</m:t>
                        </m:r>
                        <m:ctrlPr>
                          <w:rPr>
                            <w:rFonts w:ascii="Cambria Math" w:hAnsi="Cambria Math"/>
                            <w:i/>
                          </w:rPr>
                        </m:ctrlPr>
                      </m:sub>
                      <m:sup>
                        <m:r>
                          <m:rPr/>
                          <w:rPr>
                            <w:rFonts w:ascii="Cambria Math" w:hAnsi="Cambria Math"/>
                          </w:rPr>
                          <m:t>L−1</m:t>
                        </m:r>
                        <m:ctrlPr>
                          <w:rPr>
                            <w:rFonts w:ascii="Cambria Math" w:hAnsi="Cambria Math"/>
                            <w:i/>
                          </w:rPr>
                        </m:ctrlPr>
                      </m:sup>
                      <m:e>
                        <m:sSub>
                          <m:sSubPr>
                            <m:ctrlPr>
                              <w:rPr>
                                <w:rFonts w:ascii="Cambria Math" w:hAnsi="Cambria Math"/>
                                <w:i/>
                              </w:rPr>
                            </m:ctrlPr>
                          </m:sSubPr>
                          <m:e>
                            <m:r>
                              <m:rPr/>
                              <w:rPr>
                                <w:rFonts w:ascii="Cambria Math" w:hAnsi="Cambria Math"/>
                              </w:rPr>
                              <m:t>v</m:t>
                            </m:r>
                            <m:ctrlPr>
                              <w:rPr>
                                <w:rFonts w:ascii="Cambria Math" w:hAnsi="Cambria Math"/>
                                <w:i/>
                              </w:rPr>
                            </m:ctrlPr>
                          </m:e>
                          <m:sub>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1</m:t>
                                </m:r>
                                <m:ctrlPr>
                                  <w:rPr>
                                    <w:rFonts w:ascii="Cambria Math" w:hAnsi="Cambria Math"/>
                                    <w:i/>
                                  </w:rPr>
                                </m:ctrlPr>
                              </m:sub>
                              <m: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sup>
                            </m:sSubSup>
                            <m:r>
                              <m:rPr/>
                              <w:rPr>
                                <w:rFonts w:ascii="Cambria Math" w:hAnsi="Cambria Math"/>
                              </w:rPr>
                              <m:t xml:space="preserve">, </m:t>
                            </m:r>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2</m:t>
                                </m:r>
                                <m:ctrlPr>
                                  <w:rPr>
                                    <w:rFonts w:ascii="Cambria Math" w:hAnsi="Cambria Math"/>
                                    <w:i/>
                                  </w:rPr>
                                </m:ctrlPr>
                              </m:sub>
                              <m: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sup>
                            </m:sSubSup>
                            <m:ctrlPr>
                              <w:rPr>
                                <w:rFonts w:ascii="Cambria Math" w:hAnsi="Cambria Math"/>
                                <w:i/>
                              </w:rPr>
                            </m:ctrlPr>
                          </m:sub>
                        </m:sSub>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l, i</m:t>
                            </m:r>
                            <m:ctrlPr>
                              <w:rPr>
                                <w:rFonts w:ascii="Cambria Math" w:hAnsi="Cambria Math"/>
                                <w:i/>
                              </w:rPr>
                            </m:ctrlPr>
                          </m:sub>
                        </m:sSub>
                        <m:ctrlPr>
                          <w:rPr>
                            <w:rFonts w:ascii="Cambria Math" w:hAnsi="Cambria Math"/>
                            <w:i/>
                          </w:rPr>
                        </m:ctrlPr>
                      </m:e>
                    </m:nary>
                    <m:ctrlPr>
                      <w:rPr>
                        <w:rFonts w:ascii="Cambria Math" w:hAnsi="Cambria Math"/>
                        <w:i/>
                      </w:rPr>
                    </m:ctrlPr>
                  </m:e>
                </m:mr>
                <m:mr>
                  <m:e>
                    <m:sSup>
                      <m:sSupPr>
                        <m:ctrlPr>
                          <w:rPr>
                            <w:rFonts w:ascii="Cambria Math" w:hAnsi="Cambria Math"/>
                            <w:i/>
                          </w:rPr>
                        </m:ctrlPr>
                      </m:sSupPr>
                      <m:e>
                        <m:r>
                          <m:rPr/>
                          <w:rPr>
                            <w:rFonts w:ascii="Cambria Math" w:hAnsi="Cambria Math"/>
                          </w:rPr>
                          <m:t>e</m:t>
                        </m:r>
                        <m:ctrlPr>
                          <w:rPr>
                            <w:rFonts w:ascii="Cambria Math" w:hAnsi="Cambria Math"/>
                            <w:i/>
                          </w:rPr>
                        </m:ctrlPr>
                      </m:e>
                      <m:sup>
                        <m:r>
                          <m:rPr/>
                          <w:rPr>
                            <w:rFonts w:ascii="Cambria Math" w:hAnsi="Cambria Math"/>
                          </w:rPr>
                          <m:t>j</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l</m:t>
                            </m:r>
                            <m:ctrlPr>
                              <w:rPr>
                                <w:rFonts w:ascii="Cambria Math" w:hAnsi="Cambria Math"/>
                              </w:rPr>
                            </m:ctrlPr>
                          </m:sub>
                        </m:sSub>
                        <m:ctrlPr>
                          <w:rPr>
                            <w:rFonts w:ascii="Cambria Math" w:hAnsi="Cambria Math"/>
                            <w:i/>
                          </w:rPr>
                        </m:ctrlPr>
                      </m:sup>
                    </m:sSup>
                    <m:nary>
                      <m:naryPr>
                        <m:chr m:val="∑"/>
                        <m:limLoc m:val="undOvr"/>
                        <m:ctrlPr>
                          <w:rPr>
                            <w:rFonts w:ascii="Cambria Math" w:hAnsi="Cambria Math"/>
                            <w:i/>
                          </w:rPr>
                        </m:ctrlPr>
                      </m:naryPr>
                      <m:sub>
                        <m:r>
                          <m:rPr/>
                          <w:rPr>
                            <w:rFonts w:ascii="Cambria Math" w:hAnsi="Cambria Math"/>
                          </w:rPr>
                          <m:t>i=0</m:t>
                        </m:r>
                        <m:ctrlPr>
                          <w:rPr>
                            <w:rFonts w:ascii="Cambria Math" w:hAnsi="Cambria Math"/>
                            <w:i/>
                          </w:rPr>
                        </m:ctrlPr>
                      </m:sub>
                      <m:sup>
                        <m:r>
                          <m:rPr/>
                          <w:rPr>
                            <w:rFonts w:ascii="Cambria Math" w:hAnsi="Cambria Math"/>
                          </w:rPr>
                          <m:t>L−1</m:t>
                        </m:r>
                        <m:ctrlPr>
                          <w:rPr>
                            <w:rFonts w:ascii="Cambria Math" w:hAnsi="Cambria Math"/>
                            <w:i/>
                          </w:rPr>
                        </m:ctrlPr>
                      </m:sup>
                      <m:e>
                        <m:sSub>
                          <m:sSubPr>
                            <m:ctrlPr>
                              <w:rPr>
                                <w:rFonts w:ascii="Cambria Math" w:hAnsi="Cambria Math"/>
                                <w:i/>
                              </w:rPr>
                            </m:ctrlPr>
                          </m:sSubPr>
                          <m:e>
                            <m:r>
                              <m:rPr/>
                              <w:rPr>
                                <w:rFonts w:ascii="Cambria Math" w:hAnsi="Cambria Math"/>
                              </w:rPr>
                              <m:t>v</m:t>
                            </m:r>
                            <m:ctrlPr>
                              <w:rPr>
                                <w:rFonts w:ascii="Cambria Math" w:hAnsi="Cambria Math"/>
                                <w:i/>
                              </w:rPr>
                            </m:ctrlPr>
                          </m:e>
                          <m:sub>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1</m:t>
                                </m:r>
                                <m:ctrlPr>
                                  <w:rPr>
                                    <w:rFonts w:ascii="Cambria Math" w:hAnsi="Cambria Math"/>
                                    <w:i/>
                                  </w:rPr>
                                </m:ctrlPr>
                              </m:sub>
                              <m: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sup>
                            </m:sSubSup>
                            <m:r>
                              <m:rPr/>
                              <w:rPr>
                                <w:rFonts w:ascii="Cambria Math" w:hAnsi="Cambria Math"/>
                              </w:rPr>
                              <m:t xml:space="preserve">, </m:t>
                            </m:r>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2</m:t>
                                </m:r>
                                <m:ctrlPr>
                                  <w:rPr>
                                    <w:rFonts w:ascii="Cambria Math" w:hAnsi="Cambria Math"/>
                                    <w:i/>
                                  </w:rPr>
                                </m:ctrlPr>
                              </m:sub>
                              <m: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sup>
                            </m:sSubSup>
                            <m:ctrlPr>
                              <w:rPr>
                                <w:rFonts w:ascii="Cambria Math" w:hAnsi="Cambria Math"/>
                                <w:i/>
                              </w:rPr>
                            </m:ctrlPr>
                          </m:sub>
                        </m:sSub>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l, i</m:t>
                            </m:r>
                            <m:ctrlPr>
                              <w:rPr>
                                <w:rFonts w:ascii="Cambria Math" w:hAnsi="Cambria Math"/>
                                <w:i/>
                              </w:rPr>
                            </m:ctrlPr>
                          </m:sub>
                        </m:sSub>
                        <m:ctrlPr>
                          <w:rPr>
                            <w:rFonts w:ascii="Cambria Math" w:hAnsi="Cambria Math"/>
                            <w:i/>
                          </w:rPr>
                        </m:ctrlPr>
                      </m:e>
                    </m:nary>
                    <m:ctrlPr>
                      <w:rPr>
                        <w:rFonts w:ascii="Cambria Math" w:hAnsi="Cambria Math"/>
                        <w:i/>
                      </w:rPr>
                    </m:ctrlPr>
                  </m:e>
                </m:mr>
              </m:m>
              <m:ctrlPr>
                <w:rPr>
                  <w:rFonts w:ascii="Cambria Math" w:hAnsi="Cambria Math"/>
                  <w:i/>
                </w:rPr>
              </m:ctrlPr>
            </m:e>
          </m:d>
        </m:oMath>
      </m:oMathPara>
    </w:p>
    <w:p>
      <w:pPr>
        <w:pStyle w:val="112"/>
        <w:snapToGrid w:val="0"/>
        <w:spacing w:before="72" w:beforeLines="30" w:after="72" w:afterLines="30"/>
        <w:ind w:left="720" w:firstLine="0" w:firstLineChars="0"/>
        <w:textAlignment w:val="baseline"/>
      </w:pPr>
      <w:r>
        <w:t xml:space="preserve">where </w:t>
      </w:r>
      <m:oMath>
        <m:sSub>
          <m:sSubPr>
            <m:ctrlPr>
              <w:rPr>
                <w:rFonts w:ascii="Cambria Math" w:hAnsi="Cambria Math"/>
                <w:i/>
              </w:rPr>
            </m:ctrlPr>
          </m:sSubPr>
          <m:e>
            <m:r>
              <m:rPr/>
              <w:rPr>
                <w:rFonts w:ascii="Cambria Math" w:hAnsi="Cambria Math"/>
              </w:rPr>
              <m:t>v</m:t>
            </m:r>
            <m:ctrlPr>
              <w:rPr>
                <w:rFonts w:ascii="Cambria Math" w:hAnsi="Cambria Math"/>
                <w:i/>
              </w:rPr>
            </m:ctrlPr>
          </m:e>
          <m:sub>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1</m:t>
                </m:r>
                <m:ctrlPr>
                  <w:rPr>
                    <w:rFonts w:ascii="Cambria Math" w:hAnsi="Cambria Math"/>
                    <w:i/>
                  </w:rPr>
                </m:ctrlPr>
              </m:sub>
              <m:sup>
                <m:r>
                  <m:rPr/>
                  <w:rPr>
                    <w:rFonts w:ascii="Cambria Math" w:hAnsi="Cambria Math"/>
                  </w:rPr>
                  <m:t>(i)</m:t>
                </m:r>
                <m:ctrlPr>
                  <w:rPr>
                    <w:rFonts w:ascii="Cambria Math" w:hAnsi="Cambria Math"/>
                    <w:i/>
                  </w:rPr>
                </m:ctrlPr>
              </m:sup>
            </m:sSubSup>
            <m:r>
              <m:rPr/>
              <w:rPr>
                <w:rFonts w:ascii="Cambria Math" w:hAnsi="Cambria Math"/>
              </w:rPr>
              <m:t xml:space="preserve">, </m:t>
            </m:r>
            <m:sSubSup>
              <m:sSubSupPr>
                <m:ctrlPr>
                  <w:rPr>
                    <w:rFonts w:ascii="Cambria Math" w:hAnsi="Cambria Math"/>
                    <w:i/>
                  </w:rPr>
                </m:ctrlPr>
              </m:sSubSupPr>
              <m:e>
                <m:r>
                  <m:rPr/>
                  <w:rPr>
                    <w:rFonts w:ascii="Cambria Math" w:hAnsi="Cambria Math"/>
                  </w:rPr>
                  <m:t>m</m:t>
                </m:r>
                <m:ctrlPr>
                  <w:rPr>
                    <w:rFonts w:ascii="Cambria Math" w:hAnsi="Cambria Math"/>
                    <w:i/>
                  </w:rPr>
                </m:ctrlPr>
              </m:e>
              <m:sub>
                <m:r>
                  <m:rPr/>
                  <w:rPr>
                    <w:rFonts w:ascii="Cambria Math" w:hAnsi="Cambria Math"/>
                  </w:rPr>
                  <m:t>2</m:t>
                </m:r>
                <m:ctrlPr>
                  <w:rPr>
                    <w:rFonts w:ascii="Cambria Math" w:hAnsi="Cambria Math"/>
                    <w:i/>
                  </w:rPr>
                </m:ctrlPr>
              </m:sub>
              <m:sup>
                <m:r>
                  <m:rPr/>
                  <w:rPr>
                    <w:rFonts w:ascii="Cambria Math" w:hAnsi="Cambria Math"/>
                  </w:rPr>
                  <m:t>(i)</m:t>
                </m:r>
                <m:ctrlPr>
                  <w:rPr>
                    <w:rFonts w:ascii="Cambria Math" w:hAnsi="Cambria Math"/>
                    <w:i/>
                  </w:rPr>
                </m:ctrlPr>
              </m:sup>
            </m:sSubSup>
            <m:ctrlPr>
              <w:rPr>
                <w:rFonts w:ascii="Cambria Math" w:hAnsi="Cambria Math"/>
                <w:i/>
              </w:rPr>
            </m:ctrlPr>
          </m:sub>
        </m:sSub>
      </m:oMath>
      <w:r>
        <w:t xml:space="preserve"> is the wideband SD basis,</w:t>
      </w:r>
      <m:oMath>
        <m:sSub>
          <m:sSubPr>
            <m:ctrlPr>
              <w:rPr>
                <w:rFonts w:ascii="Cambria Math" w:hAnsi="Cambria Math"/>
                <w:i/>
              </w:rPr>
            </m:ctrlPr>
          </m:sSubPr>
          <m:e>
            <m:r>
              <m:rPr/>
              <w:rPr>
                <w:rFonts w:ascii="Cambria Math" w:hAnsi="Cambria Math"/>
              </w:rPr>
              <m:t xml:space="preserve"> a</m:t>
            </m:r>
            <m:ctrlPr>
              <w:rPr>
                <w:rFonts w:ascii="Cambria Math" w:hAnsi="Cambria Math"/>
                <w:i/>
              </w:rPr>
            </m:ctrlPr>
          </m:e>
          <m:sub>
            <m:r>
              <m:rPr/>
              <w:rPr>
                <w:rFonts w:ascii="Cambria Math" w:hAnsi="Cambria Math"/>
              </w:rPr>
              <m:t>l, i</m:t>
            </m:r>
            <m:ctrlPr>
              <w:rPr>
                <w:rFonts w:ascii="Cambria Math" w:hAnsi="Cambria Math"/>
                <w:i/>
              </w:rPr>
            </m:ctrlPr>
          </m:sub>
        </m:sSub>
      </m:oMath>
      <w:r>
        <w:rPr>
          <w:rFonts w:hint="eastAsia"/>
        </w:rPr>
        <w:t xml:space="preserve"> </w:t>
      </w:r>
      <w:r>
        <w:t xml:space="preserve">is the wideband combination coefficient, and </w:t>
      </w:r>
      <m:oMath>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l</m:t>
            </m:r>
            <m:ctrlPr>
              <w:rPr>
                <w:rFonts w:ascii="Cambria Math" w:hAnsi="Cambria Math"/>
              </w:rPr>
            </m:ctrlPr>
          </m:sub>
        </m:sSub>
      </m:oMath>
      <w:r>
        <w:rPr>
          <w:rFonts w:hint="eastAsia"/>
        </w:rPr>
        <w:t xml:space="preserve"> </w:t>
      </w:r>
      <w:r>
        <w:t>is the inter-polarization phase.</w:t>
      </w:r>
    </w:p>
    <w:p>
      <w:pPr>
        <w:pStyle w:val="112"/>
        <w:numPr>
          <w:ilvl w:val="0"/>
          <w:numId w:val="11"/>
        </w:numPr>
        <w:snapToGrid w:val="0"/>
        <w:spacing w:before="72" w:beforeLines="30" w:after="72" w:afterLines="30"/>
        <w:ind w:firstLineChars="0"/>
        <w:textAlignment w:val="baseline"/>
      </w:pPr>
      <w:r>
        <w:rPr>
          <w:rFonts w:hint="eastAsia"/>
        </w:rPr>
        <w:t>Generally, option 2 aims to enable MU-MIMO transmission with acceptable CSI feedback overhead. M</w:t>
      </w:r>
      <w:r>
        <w:t>ore importantly, compared with eTypeII codebook, per-subband SVD on Rxx can be prevented, and then we only need to have a wideband SVD. That means that the UE implementation complexity can be reduced significantly.</w:t>
      </w:r>
    </w:p>
    <w:p>
      <w:pPr>
        <w:snapToGrid w:val="0"/>
        <w:spacing w:before="72" w:beforeLines="30" w:after="72" w:afterLines="30"/>
        <w:textAlignment w:val="baseline"/>
      </w:pPr>
      <w:r>
        <w:t xml:space="preserve">After that, </w:t>
      </w:r>
      <w:r>
        <w:rPr>
          <w:rFonts w:hint="eastAsia"/>
        </w:rPr>
        <w:t xml:space="preserve">SLS </w:t>
      </w:r>
      <w:r>
        <w:t xml:space="preserve">evaluation </w:t>
      </w:r>
      <w:r>
        <w:rPr>
          <w:rFonts w:hint="eastAsia"/>
        </w:rPr>
        <w:t>is performed to compare Type-I, enhanced Type-I (linear combination codebook), and eType-II codebooks. The results in figure 3 show that the enhanced Type-I (linear combination codebook) codebook provides huge throughput gain for cell-edge UE and significant throughput gain in average compared to Type-I codebook. Approximately, the performance of the enhanced Type-I codebook (linear combination codebook) is at the middle ground between Type-I and eType-II codebooks.</w:t>
      </w:r>
    </w:p>
    <w:p>
      <w:pPr>
        <w:tabs>
          <w:tab w:val="left" w:pos="7938"/>
        </w:tabs>
        <w:snapToGrid w:val="0"/>
        <w:spacing w:before="120" w:beforeLines="50" w:after="120" w:afterLines="50" w:line="300" w:lineRule="auto"/>
        <w:jc w:val="center"/>
      </w:pPr>
      <w:r>
        <w:drawing>
          <wp:inline distT="0" distB="0" distL="0" distR="0">
            <wp:extent cx="3457575" cy="1932305"/>
            <wp:effectExtent l="0" t="0" r="9525" b="1079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napToGrid w:val="0"/>
        <w:spacing w:before="72" w:beforeLines="30" w:after="72" w:afterLines="30" w:line="300" w:lineRule="auto"/>
        <w:jc w:val="center"/>
        <w:textAlignment w:val="center"/>
      </w:pPr>
      <w:r>
        <w:rPr>
          <w:rFonts w:hint="eastAsia"/>
          <w:b/>
          <w:bCs/>
        </w:rPr>
        <w:t>Figure 3</w:t>
      </w:r>
      <w:r>
        <w:rPr>
          <w:rFonts w:hint="eastAsia"/>
        </w:rPr>
        <w:t xml:space="preserve"> DL throughput gain (64 ports) in MU-MIMO scenario with Type-I, enhanced Type-I (</w:t>
      </w:r>
      <w:bookmarkStart w:id="27" w:name="_GoBack"/>
      <w:bookmarkEnd w:id="27"/>
      <w:r>
        <w:rPr>
          <w:rFonts w:hint="eastAsia"/>
        </w:rPr>
        <w:t>option 2) and E-Type II codebooks</w:t>
      </w:r>
    </w:p>
    <w:p>
      <w:pPr>
        <w:snapToGrid w:val="0"/>
        <w:spacing w:before="72" w:beforeLines="30" w:after="72" w:afterLines="30" w:line="300" w:lineRule="auto"/>
        <w:textAlignment w:val="center"/>
        <w:rPr>
          <w:i/>
          <w:iCs/>
        </w:rPr>
      </w:pPr>
      <w:r>
        <w:rPr>
          <w:rFonts w:hint="eastAsia"/>
          <w:b/>
          <w:bCs/>
          <w:i/>
          <w:iCs/>
        </w:rPr>
        <w:t xml:space="preserve">Observation </w:t>
      </w:r>
      <w:r>
        <w:rPr>
          <w:b/>
          <w:bCs/>
          <w:i/>
          <w:iCs/>
        </w:rPr>
        <w:t>3</w:t>
      </w:r>
      <w:r>
        <w:rPr>
          <w:rFonts w:hint="eastAsia"/>
          <w:b/>
          <w:bCs/>
          <w:i/>
          <w:iCs/>
        </w:rPr>
        <w:t>:</w:t>
      </w:r>
      <w:r>
        <w:rPr>
          <w:rFonts w:hint="eastAsia"/>
          <w:i/>
          <w:iCs/>
        </w:rPr>
        <w:t xml:space="preserve"> In MU-MIMO scenario, the enhanced Type-I codebook (linear combination codebook) can provide huge throughput gain for cell-edge UEs and significant throughput gain in average compared to Type-I codebook.</w:t>
      </w:r>
    </w:p>
    <w:p>
      <w:pPr>
        <w:snapToGrid w:val="0"/>
        <w:spacing w:before="72" w:beforeLines="30" w:after="72" w:afterLines="30" w:line="300" w:lineRule="auto"/>
        <w:textAlignment w:val="center"/>
        <w:rPr>
          <w:i/>
          <w:iCs/>
        </w:rPr>
      </w:pPr>
      <w:r>
        <w:rPr>
          <w:rFonts w:hint="eastAsia"/>
          <w:b/>
          <w:bCs/>
          <w:i/>
          <w:iCs/>
        </w:rPr>
        <w:t xml:space="preserve">Proposal </w:t>
      </w:r>
      <w:r>
        <w:rPr>
          <w:b/>
          <w:bCs/>
          <w:i/>
          <w:iCs/>
        </w:rPr>
        <w:t>6</w:t>
      </w:r>
      <w:r>
        <w:rPr>
          <w:rFonts w:hint="eastAsia"/>
          <w:b/>
          <w:bCs/>
          <w:i/>
          <w:iCs/>
        </w:rPr>
        <w:t>:</w:t>
      </w:r>
      <w:r>
        <w:rPr>
          <w:rFonts w:hint="eastAsia"/>
          <w:i/>
          <w:iCs/>
        </w:rPr>
        <w:t xml:space="preserve"> Regarding the linear combination codebook based Rel-19 Type-I codebook refinement targeting MU-MIMO, the followings can be considered:</w:t>
      </w:r>
    </w:p>
    <w:p>
      <w:pPr>
        <w:numPr>
          <w:ilvl w:val="0"/>
          <w:numId w:val="10"/>
        </w:numPr>
        <w:snapToGrid w:val="0"/>
        <w:spacing w:before="120" w:beforeLines="50" w:after="120" w:afterLines="50" w:line="300" w:lineRule="auto"/>
        <w:rPr>
          <w:i/>
          <w:iCs/>
        </w:rPr>
      </w:pPr>
      <w:r>
        <w:rPr>
          <w:rFonts w:hint="eastAsia"/>
          <w:i/>
          <w:iCs/>
        </w:rPr>
        <w:t>The precoding matrix of each layer is based on a combination of multiple SD bases, where both the SD bases and the combination coefficients are wideband;</w:t>
      </w:r>
    </w:p>
    <w:p>
      <w:pPr>
        <w:numPr>
          <w:ilvl w:val="0"/>
          <w:numId w:val="10"/>
        </w:numPr>
        <w:snapToGrid w:val="0"/>
        <w:spacing w:before="120" w:beforeLines="50" w:after="120" w:afterLines="50" w:line="300" w:lineRule="auto"/>
        <w:rPr>
          <w:i/>
          <w:iCs/>
        </w:rPr>
      </w:pPr>
      <w:r>
        <w:rPr>
          <w:rFonts w:hint="eastAsia"/>
          <w:i/>
          <w:iCs/>
        </w:rPr>
        <w:t>The two types of polarization share a common set of combination coefficients, and the difference between the two types of polarization is reflected by additional inter-polarization information, e.g., inter-polarization phase.</w:t>
      </w:r>
    </w:p>
    <w:p>
      <w:pPr>
        <w:numPr>
          <w:ilvl w:val="1"/>
          <w:numId w:val="8"/>
        </w:numPr>
        <w:tabs>
          <w:tab w:val="clear" w:pos="576"/>
        </w:tabs>
        <w:snapToGrid w:val="0"/>
        <w:spacing w:before="240" w:after="120" w:afterLines="50" w:line="240" w:lineRule="auto"/>
        <w:ind w:left="567" w:hanging="567"/>
        <w:outlineLvl w:val="1"/>
        <w:rPr>
          <w:b/>
          <w:sz w:val="24"/>
          <w:szCs w:val="20"/>
        </w:rPr>
      </w:pPr>
      <w:r>
        <w:rPr>
          <w:rFonts w:hint="eastAsia"/>
          <w:b/>
          <w:sz w:val="24"/>
          <w:szCs w:val="20"/>
        </w:rPr>
        <w:t>Type-</w:t>
      </w:r>
      <w:r>
        <w:rPr>
          <w:b/>
          <w:sz w:val="24"/>
          <w:szCs w:val="20"/>
        </w:rPr>
        <w:t>II</w:t>
      </w:r>
      <w:r>
        <w:rPr>
          <w:rFonts w:hint="eastAsia"/>
          <w:b/>
          <w:sz w:val="24"/>
          <w:szCs w:val="20"/>
        </w:rPr>
        <w:t xml:space="preserve"> codebook refinement </w:t>
      </w:r>
    </w:p>
    <w:p>
      <w:pPr>
        <w:snapToGrid w:val="0"/>
        <w:spacing w:before="60" w:beforeLines="25" w:after="120" w:afterLines="50" w:line="300" w:lineRule="auto"/>
        <w:rPr>
          <w:szCs w:val="20"/>
        </w:rPr>
      </w:pPr>
      <w:r>
        <w:rPr>
          <w:rFonts w:hint="eastAsia" w:eastAsia="微软雅黑"/>
          <w:szCs w:val="20"/>
        </w:rPr>
        <w:t>For Type-II codebook refinement, Rel-16 eType-II should be considered as the baseline. Besides</w:t>
      </w:r>
      <w:r>
        <w:rPr>
          <w:rFonts w:eastAsia="微软雅黑"/>
          <w:szCs w:val="20"/>
        </w:rPr>
        <w:t xml:space="preserve"> for</w:t>
      </w:r>
      <w:r>
        <w:rPr>
          <w:rFonts w:hint="eastAsia" w:eastAsia="微软雅黑"/>
          <w:szCs w:val="20"/>
        </w:rPr>
        <w:t xml:space="preserve"> increasing the supported number of antenna ports, new parameters/designs should not be introduced. However, to balance the performance and reporting overhead, new configurations for codebook parameters </w:t>
      </w:r>
      <w:r>
        <w:rPr>
          <w:rFonts w:hint="eastAsia" w:eastAsia="微软雅黑"/>
          <w:i/>
          <w:iCs/>
          <w:szCs w:val="20"/>
        </w:rPr>
        <w:t>L</w:t>
      </w:r>
      <w:r>
        <w:rPr>
          <w:rFonts w:hint="eastAsia" w:eastAsia="微软雅黑"/>
          <w:szCs w:val="20"/>
        </w:rPr>
        <w:t xml:space="preserve">, </w:t>
      </w:r>
      <m:oMath>
        <m:r>
          <m:rPr/>
          <w:rPr>
            <w:rFonts w:ascii="Cambria Math" w:hAnsi="Cambria Math"/>
            <w:szCs w:val="20"/>
          </w:rPr>
          <m:t>β</m:t>
        </m:r>
      </m:oMath>
      <w:r>
        <w:rPr>
          <w:rFonts w:hint="eastAsia" w:hAnsi="Cambria Math"/>
          <w:szCs w:val="20"/>
        </w:rPr>
        <w:t xml:space="preserve">, and </w:t>
      </w:r>
      <m:oMath>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v</m:t>
            </m:r>
            <m:ctrlPr>
              <w:rPr>
                <w:rFonts w:ascii="Cambria Math" w:hAnsi="Cambria Math"/>
                <w:i/>
                <w:szCs w:val="20"/>
              </w:rPr>
            </m:ctrlPr>
          </m:sub>
        </m:sSub>
      </m:oMath>
      <w:r>
        <w:rPr>
          <w:rFonts w:hint="eastAsia" w:hAnsi="Cambria Math"/>
          <w:szCs w:val="20"/>
        </w:rPr>
        <w:t xml:space="preserve"> need to be further studied when the antenna port number is larger than 32.</w:t>
      </w:r>
      <w:r>
        <w:rPr>
          <w:rFonts w:hint="eastAsia" w:eastAsia="微软雅黑"/>
          <w:szCs w:val="20"/>
        </w:rPr>
        <w:t xml:space="preserve"> Figure 4 shows the throughput gain obtained by maintaining the structure of eType-II codebook and directly increasing the number of antenna ports. It </w:t>
      </w:r>
      <w:r>
        <w:rPr>
          <w:rFonts w:eastAsia="微软雅黑"/>
          <w:szCs w:val="20"/>
        </w:rPr>
        <w:t xml:space="preserve">can be observed </w:t>
      </w:r>
      <w:r>
        <w:rPr>
          <w:rFonts w:hint="eastAsia" w:eastAsia="微软雅黑"/>
          <w:szCs w:val="20"/>
        </w:rPr>
        <w:t>that increasing the number of antenna ports can significantly improve the performance, especially for cell-edge UEs. Detailed assumptions for the SLS can be found in Table 2 in the appendix.</w:t>
      </w:r>
    </w:p>
    <w:p>
      <w:pPr>
        <w:snapToGrid w:val="0"/>
        <w:spacing w:before="72" w:beforeLines="30" w:after="72" w:afterLines="30" w:line="300" w:lineRule="auto"/>
        <w:jc w:val="center"/>
        <w:textAlignment w:val="center"/>
        <w:rPr>
          <w:b/>
          <w:i/>
        </w:rPr>
      </w:pPr>
      <w:r>
        <w:drawing>
          <wp:inline distT="0" distB="0" distL="114300" distR="114300">
            <wp:extent cx="3093720" cy="1848485"/>
            <wp:effectExtent l="4445" t="4445" r="6985" b="1397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napToGrid w:val="0"/>
        <w:spacing w:before="72" w:beforeLines="30" w:after="72" w:afterLines="30" w:line="300" w:lineRule="auto"/>
        <w:jc w:val="center"/>
        <w:textAlignment w:val="center"/>
        <w:rPr>
          <w:szCs w:val="20"/>
        </w:rPr>
      </w:pPr>
      <w:r>
        <w:rPr>
          <w:rFonts w:hint="eastAsia"/>
          <w:b/>
          <w:bCs/>
        </w:rPr>
        <w:t>Figure 4</w:t>
      </w:r>
      <w:r>
        <w:rPr>
          <w:rFonts w:hint="eastAsia"/>
        </w:rPr>
        <w:t xml:space="preserve"> DL throughput gain (eTypeII-based) in MU-MIMO scenario with 32, 64 and 128 ports</w:t>
      </w:r>
    </w:p>
    <w:p>
      <w:pPr>
        <w:spacing w:before="120" w:after="120"/>
        <w:rPr>
          <w:i/>
        </w:rPr>
      </w:pPr>
      <w:r>
        <w:rPr>
          <w:rFonts w:hint="eastAsia"/>
          <w:b/>
          <w:bCs/>
          <w:i/>
        </w:rPr>
        <w:t xml:space="preserve">Proposal </w:t>
      </w:r>
      <w:r>
        <w:rPr>
          <w:b/>
          <w:bCs/>
          <w:i/>
        </w:rPr>
        <w:t>7</w:t>
      </w:r>
      <w:r>
        <w:rPr>
          <w:rFonts w:hint="eastAsia"/>
          <w:b/>
          <w:bCs/>
          <w:i/>
        </w:rPr>
        <w:t>:</w:t>
      </w:r>
      <w:r>
        <w:rPr>
          <w:rFonts w:hint="eastAsia"/>
          <w:i/>
        </w:rPr>
        <w:t xml:space="preserve"> Regarding Rel-19 Type-II code book refinement, Rel-16 eType-II should be considered as the baseline.</w:t>
      </w:r>
    </w:p>
    <w:p>
      <w:pPr>
        <w:numPr>
          <w:ilvl w:val="0"/>
          <w:numId w:val="10"/>
        </w:numPr>
        <w:snapToGrid w:val="0"/>
        <w:spacing w:before="120" w:beforeLines="50" w:after="120" w:afterLines="50" w:line="300" w:lineRule="auto"/>
        <w:rPr>
          <w:i/>
        </w:rPr>
      </w:pPr>
      <w:r>
        <w:rPr>
          <w:rFonts w:hint="eastAsia"/>
          <w:i/>
        </w:rPr>
        <w:t>No new parameters/designs should</w:t>
      </w:r>
      <w:r>
        <w:rPr>
          <w:i/>
        </w:rPr>
        <w:t xml:space="preserve"> </w:t>
      </w:r>
      <w:r>
        <w:rPr>
          <w:rFonts w:hint="eastAsia"/>
          <w:i/>
        </w:rPr>
        <w:t>be introduced for Type-II codebook refinement, except for increasing the supported number of antenna ports;</w:t>
      </w:r>
    </w:p>
    <w:p>
      <w:pPr>
        <w:numPr>
          <w:ilvl w:val="0"/>
          <w:numId w:val="10"/>
        </w:numPr>
        <w:snapToGrid w:val="0"/>
        <w:spacing w:before="120" w:beforeLines="50" w:after="120" w:afterLines="50" w:line="300" w:lineRule="auto"/>
        <w:rPr>
          <w:i/>
        </w:rPr>
      </w:pPr>
      <w:r>
        <w:rPr>
          <w:rFonts w:hint="eastAsia"/>
          <w:i/>
        </w:rPr>
        <w:t xml:space="preserve">FFS: </w:t>
      </w:r>
      <w:r>
        <w:rPr>
          <w:rFonts w:hint="eastAsia" w:eastAsia="微软雅黑"/>
          <w:i/>
          <w:szCs w:val="20"/>
        </w:rPr>
        <w:t xml:space="preserve">new configurations for codebook parameters L, </w:t>
      </w:r>
      <m:oMath>
        <m:r>
          <m:rPr/>
          <w:rPr>
            <w:rFonts w:ascii="Cambria Math" w:hAnsi="Cambria Math"/>
            <w:szCs w:val="20"/>
          </w:rPr>
          <m:t>β</m:t>
        </m:r>
      </m:oMath>
      <w:r>
        <w:rPr>
          <w:rFonts w:hint="eastAsia" w:hAnsi="Cambria Math"/>
          <w:i/>
          <w:szCs w:val="20"/>
        </w:rPr>
        <w:t xml:space="preserve">, and </w:t>
      </w:r>
      <m:oMath>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v</m:t>
            </m:r>
            <m:ctrlPr>
              <w:rPr>
                <w:rFonts w:ascii="Cambria Math" w:hAnsi="Cambria Math"/>
                <w:i/>
                <w:szCs w:val="20"/>
              </w:rPr>
            </m:ctrlPr>
          </m:sub>
        </m:sSub>
      </m:oMath>
      <w:r>
        <w:rPr>
          <w:rFonts w:hint="eastAsia" w:hAnsi="Cambria Math"/>
          <w:i/>
          <w:szCs w:val="20"/>
        </w:rPr>
        <w:t xml:space="preserve"> when the antenna port number is greater than 32.</w:t>
      </w:r>
    </w:p>
    <w:p>
      <w:pPr>
        <w:spacing w:before="120"/>
        <w:rPr>
          <w:iCs/>
        </w:rPr>
      </w:pPr>
      <w:r>
        <w:rPr>
          <w:b/>
          <w:bCs/>
          <w:i/>
        </w:rPr>
        <w:t>Observation 4:</w:t>
      </w:r>
      <w:r>
        <w:rPr>
          <w:i/>
        </w:rPr>
        <w:t xml:space="preserve"> </w:t>
      </w:r>
      <w:r>
        <w:rPr>
          <w:rFonts w:hint="eastAsia"/>
          <w:i/>
        </w:rPr>
        <w:t xml:space="preserve">The performance of eType-II codebook can be significantly improved by maintaining the legacy codebook structure and directly increasing the number of antenna ports. </w:t>
      </w:r>
    </w:p>
    <w:p>
      <w:pPr>
        <w:numPr>
          <w:ilvl w:val="1"/>
          <w:numId w:val="8"/>
        </w:numPr>
        <w:snapToGrid w:val="0"/>
        <w:spacing w:before="240" w:after="120" w:afterLines="50" w:line="240" w:lineRule="auto"/>
        <w:outlineLvl w:val="1"/>
        <w:rPr>
          <w:b/>
          <w:bCs/>
          <w:sz w:val="21"/>
          <w:szCs w:val="21"/>
        </w:rPr>
      </w:pPr>
      <w:r>
        <w:rPr>
          <w:b/>
          <w:sz w:val="24"/>
          <w:szCs w:val="20"/>
          <w:lang w:eastAsia="en-US"/>
        </w:rPr>
        <w:t>CRI</w:t>
      </w:r>
      <w:r>
        <w:rPr>
          <w:rFonts w:hint="eastAsia"/>
          <w:b/>
          <w:sz w:val="24"/>
          <w:szCs w:val="20"/>
        </w:rPr>
        <w:t>s</w:t>
      </w:r>
      <w:r>
        <w:rPr>
          <w:b/>
          <w:sz w:val="24"/>
          <w:szCs w:val="20"/>
          <w:lang w:eastAsia="en-US"/>
        </w:rPr>
        <w:t xml:space="preserve">-based CSI reporting for hybrid beamforming </w:t>
      </w:r>
      <w:r>
        <w:rPr>
          <w:rFonts w:hint="eastAsia"/>
          <w:b/>
          <w:sz w:val="24"/>
          <w:szCs w:val="20"/>
        </w:rPr>
        <w:t>for</w:t>
      </w:r>
      <w:r>
        <w:rPr>
          <w:b/>
          <w:sz w:val="24"/>
          <w:szCs w:val="20"/>
          <w:lang w:eastAsia="en-US"/>
        </w:rPr>
        <w:t xml:space="preserve"> up to 128 CSI-RS ports</w:t>
      </w:r>
    </w:p>
    <w:p>
      <w:r>
        <w:rPr>
          <w:rFonts w:hint="eastAsia"/>
        </w:rPr>
        <w:t xml:space="preserve">Based on current specifications, the CRI-based CSI reporting is only supported for Type-I codebook. Besides, when </w:t>
      </w:r>
      <m:oMath>
        <m:sSub>
          <m:sSubPr>
            <m:ctrlPr>
              <w:rPr>
                <w:rFonts w:hint="eastAsia" w:ascii="Cambria Math" w:hAnsi="Cambria Math"/>
                <w:bCs/>
                <w:kern w:val="2"/>
                <w:szCs w:val="20"/>
              </w:rPr>
            </m:ctrlPr>
          </m:sSubPr>
          <m:e>
            <m:r>
              <m:rPr/>
              <w:rPr>
                <w:rFonts w:ascii="Cambria Math" w:hAnsi="Cambria Math"/>
                <w:kern w:val="2"/>
                <w:szCs w:val="20"/>
              </w:rPr>
              <m:t>K</m:t>
            </m:r>
            <m:ctrlPr>
              <w:rPr>
                <w:rFonts w:hint="eastAsia" w:ascii="Cambria Math" w:hAnsi="Cambria Math"/>
                <w:bCs/>
                <w:kern w:val="2"/>
                <w:szCs w:val="20"/>
              </w:rPr>
            </m:ctrlPr>
          </m:e>
          <m:sub>
            <m:r>
              <m:rPr>
                <m:sty m:val="p"/>
              </m:rPr>
              <w:rPr>
                <w:rFonts w:hint="eastAsia" w:ascii="Cambria Math" w:hAnsi="Cambria Math"/>
                <w:kern w:val="2"/>
                <w:szCs w:val="20"/>
              </w:rPr>
              <m:t>s</m:t>
            </m:r>
            <m:ctrlPr>
              <w:rPr>
                <w:rFonts w:hint="eastAsia" w:ascii="Cambria Math" w:hAnsi="Cambria Math"/>
                <w:bCs/>
                <w:kern w:val="2"/>
                <w:szCs w:val="20"/>
              </w:rPr>
            </m:ctrlPr>
          </m:sub>
        </m:sSub>
        <m:r>
          <m:rPr>
            <m:sty m:val="p"/>
          </m:rPr>
          <w:rPr>
            <w:rFonts w:hint="eastAsia" w:ascii="Cambria Math" w:hAnsi="Cambria Math"/>
            <w:kern w:val="2"/>
            <w:szCs w:val="20"/>
          </w:rPr>
          <m:t xml:space="preserve">=2 </m:t>
        </m:r>
      </m:oMath>
      <w:r>
        <w:rPr>
          <w:rFonts w:hint="eastAsia"/>
          <w:bCs/>
          <w:kern w:val="2"/>
          <w:szCs w:val="20"/>
        </w:rPr>
        <w:t xml:space="preserve">CSI-RS resources are configured, each resource shall contain at most 16 CSI-RS ports; and if </w:t>
      </w:r>
      <m:oMath>
        <m:r>
          <m:rPr>
            <m:sty m:val="p"/>
          </m:rPr>
          <w:rPr>
            <w:rFonts w:hint="eastAsia" w:ascii="Cambria Math" w:hAnsi="Cambria Math"/>
            <w:kern w:val="2"/>
            <w:szCs w:val="20"/>
          </w:rPr>
          <m:t>2&lt;</m:t>
        </m:r>
        <m:sSub>
          <m:sSubPr>
            <m:ctrlPr>
              <w:rPr>
                <w:rFonts w:hint="eastAsia" w:ascii="Cambria Math" w:hAnsi="Cambria Math"/>
                <w:bCs/>
                <w:kern w:val="2"/>
                <w:szCs w:val="20"/>
              </w:rPr>
            </m:ctrlPr>
          </m:sSubPr>
          <m:e>
            <m:r>
              <m:rPr/>
              <w:rPr>
                <w:rFonts w:ascii="Cambria Math" w:hAnsi="Cambria Math"/>
                <w:kern w:val="2"/>
                <w:szCs w:val="20"/>
              </w:rPr>
              <m:t>K</m:t>
            </m:r>
            <m:ctrlPr>
              <w:rPr>
                <w:rFonts w:hint="eastAsia" w:ascii="Cambria Math" w:hAnsi="Cambria Math"/>
                <w:bCs/>
                <w:kern w:val="2"/>
                <w:szCs w:val="20"/>
              </w:rPr>
            </m:ctrlPr>
          </m:e>
          <m:sub>
            <m:r>
              <m:rPr>
                <m:sty m:val="p"/>
              </m:rPr>
              <w:rPr>
                <w:rFonts w:hint="eastAsia" w:ascii="Cambria Math" w:hAnsi="Cambria Math"/>
                <w:kern w:val="2"/>
                <w:szCs w:val="20"/>
              </w:rPr>
              <m:t>s</m:t>
            </m:r>
            <m:ctrlPr>
              <w:rPr>
                <w:rFonts w:hint="eastAsia" w:ascii="Cambria Math" w:hAnsi="Cambria Math"/>
                <w:bCs/>
                <w:kern w:val="2"/>
                <w:szCs w:val="20"/>
              </w:rPr>
            </m:ctrlPr>
          </m:sub>
        </m:sSub>
        <m:r>
          <m:rPr>
            <m:sty m:val="p"/>
          </m:rPr>
          <w:rPr>
            <w:rFonts w:hint="eastAsia" w:ascii="Cambria Math" w:hAnsi="Cambria Math"/>
            <w:kern w:val="2"/>
            <w:szCs w:val="20"/>
          </w:rPr>
          <m:t xml:space="preserve">≤8 </m:t>
        </m:r>
      </m:oMath>
      <w:r>
        <w:rPr>
          <w:rFonts w:hint="eastAsia"/>
          <w:bCs/>
          <w:kern w:val="2"/>
          <w:szCs w:val="20"/>
        </w:rPr>
        <w:t>CSI-RS resources are configured, each resource shall contain at most 8 CSI-RS ports.</w:t>
      </w:r>
      <w:r>
        <w:rPr>
          <w:rFonts w:hint="eastAsia"/>
        </w:rPr>
        <w:t xml:space="preserve"> </w:t>
      </w:r>
      <w:r>
        <w:t>As mentioned in the justification in</w:t>
      </w:r>
      <w:r>
        <w:rPr>
          <w:rFonts w:hint="eastAsia"/>
        </w:rPr>
        <w:t xml:space="preserve"> the WID, the enhancement</w:t>
      </w:r>
      <w:r>
        <w:t xml:space="preserve"> of having &gt;1 CRI based CSI report</w:t>
      </w:r>
      <w:r>
        <w:rPr>
          <w:rFonts w:hint="eastAsia"/>
        </w:rPr>
        <w:t xml:space="preserve"> is targeting MU-MIMO, then eType-II codebook should be supported firstly in CRIs-based CSI reporting. Meanwhile, the maximum allowed number of CSI-RS ports for each CSI-RS resource should be extended to 32, but the total number of CSI-RS ports across multiple CSI-RS resources should be limited to 128.</w:t>
      </w:r>
    </w:p>
    <w:p>
      <w:pPr>
        <w:snapToGrid w:val="0"/>
        <w:spacing w:before="72" w:beforeLines="30" w:after="72" w:afterLines="30" w:line="300" w:lineRule="auto"/>
        <w:textAlignment w:val="center"/>
        <w:rPr>
          <w:i/>
        </w:rPr>
      </w:pPr>
      <w:r>
        <w:rPr>
          <w:b/>
          <w:i/>
        </w:rPr>
        <w:t>Proposal 8</w:t>
      </w:r>
      <w:r>
        <w:rPr>
          <w:rFonts w:hint="eastAsia"/>
          <w:b/>
          <w:i/>
        </w:rPr>
        <w:t xml:space="preserve">: </w:t>
      </w:r>
      <w:r>
        <w:rPr>
          <w:rFonts w:hint="eastAsia"/>
          <w:i/>
        </w:rPr>
        <w:t>Regarding Rel-19 CRIs-based CSI reporting, both Type-I and eType-II codebooks should be supported</w:t>
      </w:r>
      <w:r>
        <w:rPr>
          <w:i/>
        </w:rPr>
        <w:t>.</w:t>
      </w:r>
    </w:p>
    <w:p>
      <w:pPr>
        <w:numPr>
          <w:ilvl w:val="0"/>
          <w:numId w:val="10"/>
        </w:numPr>
        <w:snapToGrid w:val="0"/>
        <w:spacing w:before="120" w:beforeLines="50" w:after="120" w:afterLines="50" w:line="300" w:lineRule="auto"/>
        <w:rPr>
          <w:i/>
        </w:rPr>
      </w:pPr>
      <w:r>
        <w:rPr>
          <w:rFonts w:hint="eastAsia"/>
          <w:i/>
        </w:rPr>
        <w:t>Up to 8 CSI-RS resources can be configured;</w:t>
      </w:r>
    </w:p>
    <w:p>
      <w:pPr>
        <w:numPr>
          <w:ilvl w:val="0"/>
          <w:numId w:val="10"/>
        </w:numPr>
        <w:snapToGrid w:val="0"/>
        <w:spacing w:before="120" w:beforeLines="50" w:after="120" w:afterLines="50" w:line="300" w:lineRule="auto"/>
        <w:rPr>
          <w:i/>
          <w:iCs/>
        </w:rPr>
      </w:pPr>
      <w:r>
        <w:rPr>
          <w:rFonts w:hint="eastAsia"/>
          <w:i/>
          <w:iCs/>
        </w:rPr>
        <w:t>U</w:t>
      </w:r>
      <w:r>
        <w:rPr>
          <w:i/>
          <w:iCs/>
        </w:rPr>
        <w:t xml:space="preserve">p to </w:t>
      </w:r>
      <w:r>
        <w:rPr>
          <w:rFonts w:hint="eastAsia"/>
          <w:i/>
          <w:iCs/>
        </w:rPr>
        <w:t xml:space="preserve">a total number of </w:t>
      </w:r>
      <w:r>
        <w:rPr>
          <w:i/>
          <w:iCs/>
        </w:rPr>
        <w:t xml:space="preserve">128 CSI-RS ports across all resources, with up to 32 CSI-RS ports per resource, </w:t>
      </w:r>
      <w:r>
        <w:rPr>
          <w:rFonts w:hint="eastAsia"/>
          <w:i/>
          <w:iCs/>
        </w:rPr>
        <w:t>can be configured</w:t>
      </w:r>
      <w:r>
        <w:rPr>
          <w:i/>
          <w:iCs/>
        </w:rPr>
        <w:t>.</w:t>
      </w:r>
    </w:p>
    <w:p>
      <w:pPr>
        <w:snapToGrid w:val="0"/>
        <w:spacing w:before="60" w:beforeLines="25" w:after="120" w:afterLines="50" w:line="300" w:lineRule="auto"/>
      </w:pPr>
      <w:r>
        <w:rPr>
          <w:rFonts w:hint="eastAsia" w:eastAsia="微软雅黑"/>
          <w:szCs w:val="20"/>
        </w:rPr>
        <w:t>W</w:t>
      </w:r>
      <w:r>
        <w:rPr>
          <w:rFonts w:eastAsia="微软雅黑"/>
          <w:szCs w:val="20"/>
        </w:rPr>
        <w:t xml:space="preserve">e evaluate </w:t>
      </w:r>
      <w:r>
        <w:rPr>
          <w:rFonts w:hint="eastAsia" w:eastAsia="微软雅黑"/>
          <w:szCs w:val="20"/>
        </w:rPr>
        <w:t>the</w:t>
      </w:r>
      <w:r>
        <w:rPr>
          <w:rFonts w:eastAsia="微软雅黑"/>
          <w:szCs w:val="20"/>
        </w:rPr>
        <w:t xml:space="preserve"> performance </w:t>
      </w:r>
      <w:r>
        <w:rPr>
          <w:rFonts w:hint="eastAsia" w:eastAsia="微软雅黑"/>
          <w:szCs w:val="20"/>
        </w:rPr>
        <w:t xml:space="preserve">of CRIs-based CSI reporting in MU-MIMO scenario by adopting eType-II codebook, where the number of </w:t>
      </w:r>
      <w:r>
        <w:rPr>
          <w:rFonts w:eastAsia="微软雅黑"/>
          <w:szCs w:val="20"/>
        </w:rPr>
        <w:t>the reported CRIs</w:t>
      </w:r>
      <w:r>
        <w:rPr>
          <w:rFonts w:hint="eastAsia" w:eastAsia="微软雅黑"/>
          <w:szCs w:val="20"/>
        </w:rPr>
        <w:t xml:space="preserve"> is set as N = 1 (legacy), 2, or 4. The throughput gain is shown in figure 5. </w:t>
      </w:r>
      <w:r>
        <w:rPr>
          <w:rFonts w:eastAsia="微软雅黑"/>
          <w:szCs w:val="20"/>
        </w:rPr>
        <w:t xml:space="preserve">It </w:t>
      </w:r>
      <w:r>
        <w:rPr>
          <w:rFonts w:hint="eastAsia" w:eastAsia="微软雅黑"/>
          <w:szCs w:val="20"/>
        </w:rPr>
        <w:t>is</w:t>
      </w:r>
      <w:r>
        <w:rPr>
          <w:rFonts w:eastAsia="微软雅黑"/>
          <w:szCs w:val="20"/>
        </w:rPr>
        <w:t xml:space="preserve"> observed that</w:t>
      </w:r>
      <w:r>
        <w:rPr>
          <w:rFonts w:hint="eastAsia"/>
        </w:rPr>
        <w:t xml:space="preserve"> N = 2 </w:t>
      </w:r>
      <w:r>
        <w:rPr>
          <w:rFonts w:eastAsia="微软雅黑"/>
          <w:szCs w:val="20"/>
        </w:rPr>
        <w:t xml:space="preserve">can bring an obvious performance </w:t>
      </w:r>
      <w:r>
        <w:rPr>
          <w:rFonts w:hint="eastAsia" w:eastAsia="微软雅黑"/>
          <w:szCs w:val="20"/>
        </w:rPr>
        <w:t>improvement</w:t>
      </w:r>
      <w:r>
        <w:rPr>
          <w:rFonts w:eastAsia="微软雅黑"/>
          <w:szCs w:val="20"/>
        </w:rPr>
        <w:t xml:space="preserve"> compared </w:t>
      </w:r>
      <w:r>
        <w:rPr>
          <w:rFonts w:hint="eastAsia" w:eastAsia="微软雅黑"/>
          <w:szCs w:val="20"/>
        </w:rPr>
        <w:t>to N = 1 (legacy)</w:t>
      </w:r>
      <w:r>
        <w:rPr>
          <w:rFonts w:eastAsia="微软雅黑"/>
          <w:szCs w:val="20"/>
        </w:rPr>
        <w:t>, especially for cell-edge UE</w:t>
      </w:r>
      <w:r>
        <w:rPr>
          <w:rFonts w:hint="eastAsia" w:eastAsia="微软雅黑"/>
          <w:szCs w:val="20"/>
        </w:rPr>
        <w:t>s</w:t>
      </w:r>
      <w:r>
        <w:rPr>
          <w:rFonts w:eastAsia="微软雅黑"/>
          <w:szCs w:val="20"/>
        </w:rPr>
        <w:t>.</w:t>
      </w:r>
      <w:r>
        <w:rPr>
          <w:rFonts w:hint="eastAsia" w:eastAsia="微软雅黑"/>
          <w:szCs w:val="20"/>
        </w:rPr>
        <w:t xml:space="preserve"> It is worth noting that, N = 4 does not performs as good as N = 2, which even performs worse than N = 1 (legacy) for cell-edge UEs</w:t>
      </w:r>
      <w:r>
        <w:rPr>
          <w:rFonts w:hint="eastAsia"/>
        </w:rPr>
        <w:t xml:space="preserve">. </w:t>
      </w:r>
      <w:r>
        <w:rPr>
          <w:rFonts w:hint="eastAsia" w:eastAsia="微软雅黑"/>
          <w:szCs w:val="20"/>
        </w:rPr>
        <w:t>D</w:t>
      </w:r>
      <w:r>
        <w:rPr>
          <w:rFonts w:eastAsia="微软雅黑"/>
          <w:szCs w:val="20"/>
        </w:rPr>
        <w:t xml:space="preserve">etailed simulation assumptions for </w:t>
      </w:r>
      <w:r>
        <w:rPr>
          <w:rFonts w:hint="eastAsia" w:eastAsia="微软雅黑"/>
          <w:szCs w:val="20"/>
        </w:rPr>
        <w:t>the</w:t>
      </w:r>
      <w:r>
        <w:rPr>
          <w:rFonts w:eastAsia="微软雅黑"/>
          <w:szCs w:val="20"/>
        </w:rPr>
        <w:t xml:space="preserve"> </w:t>
      </w:r>
      <w:r>
        <w:rPr>
          <w:rFonts w:hint="eastAsia" w:eastAsia="微软雅黑"/>
          <w:szCs w:val="20"/>
        </w:rPr>
        <w:t>SLS</w:t>
      </w:r>
      <w:r>
        <w:rPr>
          <w:rFonts w:eastAsia="微软雅黑"/>
          <w:szCs w:val="20"/>
        </w:rPr>
        <w:t xml:space="preserve"> can be found in </w:t>
      </w:r>
      <w:r>
        <w:rPr>
          <w:rFonts w:hint="eastAsia" w:eastAsia="微软雅黑"/>
          <w:szCs w:val="20"/>
        </w:rPr>
        <w:t>Table 3 in the appendix</w:t>
      </w:r>
      <w:r>
        <w:rPr>
          <w:rFonts w:eastAsia="微软雅黑"/>
          <w:szCs w:val="20"/>
        </w:rPr>
        <w:t>.</w:t>
      </w:r>
    </w:p>
    <w:p>
      <w:pPr>
        <w:snapToGrid w:val="0"/>
        <w:spacing w:before="72" w:beforeLines="30" w:after="72" w:afterLines="30" w:line="300" w:lineRule="auto"/>
        <w:jc w:val="center"/>
        <w:textAlignment w:val="center"/>
      </w:pPr>
      <w:r>
        <w:drawing>
          <wp:inline distT="0" distB="0" distL="114300" distR="114300">
            <wp:extent cx="2971800" cy="1616075"/>
            <wp:effectExtent l="4445" t="4445" r="14605" b="17780"/>
            <wp:docPr id="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napToGrid w:val="0"/>
        <w:spacing w:before="72" w:beforeLines="30" w:after="72" w:afterLines="30" w:line="300" w:lineRule="auto"/>
        <w:jc w:val="center"/>
        <w:textAlignment w:val="center"/>
      </w:pPr>
      <w:r>
        <w:rPr>
          <w:rFonts w:hint="eastAsia"/>
          <w:b/>
          <w:bCs/>
        </w:rPr>
        <w:t>Figure 5</w:t>
      </w:r>
      <w:r>
        <w:rPr>
          <w:rFonts w:hint="eastAsia"/>
        </w:rPr>
        <w:t xml:space="preserve"> DL throughput gain (eType-II) in MU scenario with</w:t>
      </w:r>
      <w:r>
        <w:t xml:space="preserve"> the number of reported CRIs:</w:t>
      </w:r>
      <w:r>
        <w:rPr>
          <w:rFonts w:hint="eastAsia"/>
        </w:rPr>
        <w:t xml:space="preserve"> N=1 (legacy), 2, or 4 </w:t>
      </w:r>
    </w:p>
    <w:p>
      <w:pPr>
        <w:spacing w:before="120"/>
        <w:rPr>
          <w:i/>
        </w:rPr>
      </w:pPr>
      <w:r>
        <w:rPr>
          <w:b/>
          <w:bCs/>
          <w:i/>
        </w:rPr>
        <w:t>Observation 5:</w:t>
      </w:r>
      <w:r>
        <w:rPr>
          <w:i/>
        </w:rPr>
        <w:t xml:space="preserve"> </w:t>
      </w:r>
      <w:r>
        <w:rPr>
          <w:rFonts w:hint="eastAsia"/>
          <w:i/>
        </w:rPr>
        <w:t xml:space="preserve">Regarding the number of CSI reports N in CRIs-based CSI </w:t>
      </w:r>
      <w:r>
        <w:rPr>
          <w:i/>
        </w:rPr>
        <w:t>reporting</w:t>
      </w:r>
      <w:r>
        <w:rPr>
          <w:rFonts w:hint="eastAsia"/>
          <w:i/>
        </w:rPr>
        <w:t>, N = 2 is superior to N = 1 (legacy) and N = 4 with better DL transmission performance.</w:t>
      </w:r>
    </w:p>
    <w:p>
      <w:pPr>
        <w:snapToGrid w:val="0"/>
        <w:spacing w:before="72" w:beforeLines="30" w:after="72" w:afterLines="30" w:line="300" w:lineRule="auto"/>
        <w:textAlignment w:val="center"/>
        <w:rPr>
          <w:i/>
          <w:iCs/>
          <w:color w:val="000000"/>
        </w:rPr>
      </w:pPr>
      <w:r>
        <w:rPr>
          <w:b/>
          <w:i/>
        </w:rPr>
        <w:t>Proposal 9</w:t>
      </w:r>
      <w:r>
        <w:rPr>
          <w:rFonts w:hint="eastAsia"/>
          <w:b/>
          <w:i/>
        </w:rPr>
        <w:t xml:space="preserve">: </w:t>
      </w:r>
      <w:r>
        <w:rPr>
          <w:rFonts w:hint="eastAsia"/>
          <w:i/>
        </w:rPr>
        <w:t>Regarding Rel-19 CRIs-based CSI reporting, N = 2 CSI reports should be supported.</w:t>
      </w:r>
    </w:p>
    <w:p>
      <w:pPr>
        <w:spacing w:before="120"/>
        <w:rPr>
          <w:rFonts w:eastAsia="微软雅黑"/>
          <w:szCs w:val="20"/>
        </w:rPr>
      </w:pPr>
      <w:r>
        <w:rPr>
          <w:rFonts w:hint="eastAsia" w:eastAsia="微软雅黑"/>
          <w:szCs w:val="20"/>
        </w:rPr>
        <w:t>S</w:t>
      </w:r>
      <w:r>
        <w:rPr>
          <w:rFonts w:eastAsia="微软雅黑"/>
          <w:szCs w:val="20"/>
        </w:rPr>
        <w:t>ince more than one CSI reports are involved in CRIs-based CSI reporting, it is necessary to introduce CSI compression among these CSI reports. For example, a common RI may be shared by different CSI reports, and differential CQI reporting across different CSI reports can be applied to reduce the reporting overhead.</w:t>
      </w:r>
    </w:p>
    <w:p>
      <w:pPr>
        <w:snapToGrid w:val="0"/>
        <w:spacing w:before="72" w:beforeLines="30" w:after="72" w:afterLines="30" w:line="300" w:lineRule="auto"/>
        <w:textAlignment w:val="center"/>
        <w:rPr>
          <w:i/>
        </w:rPr>
      </w:pPr>
      <w:r>
        <w:rPr>
          <w:b/>
          <w:i/>
        </w:rPr>
        <w:t xml:space="preserve">Proposal </w:t>
      </w:r>
      <w:r>
        <w:rPr>
          <w:rFonts w:hint="eastAsia"/>
          <w:b/>
          <w:i/>
        </w:rPr>
        <w:t>1</w:t>
      </w:r>
      <w:r>
        <w:rPr>
          <w:b/>
          <w:i/>
        </w:rPr>
        <w:t>0</w:t>
      </w:r>
      <w:r>
        <w:rPr>
          <w:rFonts w:hint="eastAsia"/>
          <w:b/>
          <w:i/>
        </w:rPr>
        <w:t xml:space="preserve">: </w:t>
      </w:r>
      <w:r>
        <w:rPr>
          <w:rFonts w:hint="eastAsia"/>
          <w:i/>
        </w:rPr>
        <w:t xml:space="preserve">Regarding Rel-19 CRIs-based CSI reporting, the following reporting overhead reductions can be </w:t>
      </w:r>
      <w:r>
        <w:rPr>
          <w:i/>
        </w:rPr>
        <w:t>considered</w:t>
      </w:r>
      <w:r>
        <w:rPr>
          <w:rFonts w:hint="eastAsia"/>
          <w:i/>
        </w:rPr>
        <w:t>:</w:t>
      </w:r>
    </w:p>
    <w:p>
      <w:pPr>
        <w:numPr>
          <w:ilvl w:val="0"/>
          <w:numId w:val="10"/>
        </w:numPr>
        <w:snapToGrid w:val="0"/>
        <w:spacing w:before="120" w:beforeLines="50" w:after="120" w:afterLines="50" w:line="300" w:lineRule="auto"/>
        <w:rPr>
          <w:i/>
          <w:iCs/>
        </w:rPr>
      </w:pPr>
      <w:r>
        <w:rPr>
          <w:rFonts w:hint="eastAsia"/>
          <w:i/>
          <w:iCs/>
        </w:rPr>
        <w:t>CRI-common RI reporting;</w:t>
      </w:r>
    </w:p>
    <w:p>
      <w:pPr>
        <w:numPr>
          <w:ilvl w:val="0"/>
          <w:numId w:val="10"/>
        </w:numPr>
        <w:snapToGrid w:val="0"/>
        <w:spacing w:before="120" w:beforeLines="50" w:after="120" w:afterLines="50" w:line="300" w:lineRule="auto"/>
        <w:rPr>
          <w:i/>
          <w:iCs/>
          <w:color w:val="000000"/>
        </w:rPr>
      </w:pPr>
      <w:r>
        <w:rPr>
          <w:rFonts w:hint="eastAsia"/>
          <w:i/>
          <w:iCs/>
        </w:rPr>
        <w:t xml:space="preserve">Differential </w:t>
      </w:r>
      <w:r>
        <w:rPr>
          <w:rFonts w:hint="eastAsia"/>
          <w:i/>
          <w:iCs/>
          <w:szCs w:val="20"/>
        </w:rPr>
        <w:t>CQI reporting across different CRIs.</w:t>
      </w:r>
    </w:p>
    <w:p>
      <w:pPr>
        <w:keepNext/>
        <w:widowControl w:val="0"/>
        <w:numPr>
          <w:ilvl w:val="0"/>
          <w:numId w:val="8"/>
        </w:numPr>
        <w:tabs>
          <w:tab w:val="left" w:pos="3686"/>
          <w:tab w:val="left" w:pos="4536"/>
        </w:tabs>
        <w:autoSpaceDE w:val="0"/>
        <w:autoSpaceDN w:val="0"/>
        <w:adjustRightInd w:val="0"/>
        <w:spacing w:before="120" w:beforeLines="50" w:after="120" w:afterLines="50" w:line="240" w:lineRule="auto"/>
        <w:textAlignment w:val="baseline"/>
        <w:outlineLvl w:val="0"/>
        <w:rPr>
          <w:rFonts w:eastAsia="Arial Unicode MS"/>
          <w:b/>
          <w:bCs/>
          <w:sz w:val="28"/>
          <w:szCs w:val="28"/>
        </w:rPr>
      </w:pPr>
      <w:r>
        <w:rPr>
          <w:rFonts w:eastAsia="Arial Unicode MS"/>
          <w:b/>
          <w:bCs/>
          <w:sz w:val="28"/>
          <w:szCs w:val="28"/>
        </w:rPr>
        <w:t>CSI enhancement for CJT</w:t>
      </w:r>
      <w:r>
        <w:rPr>
          <w:rFonts w:hint="eastAsia" w:eastAsia="Arial Unicode MS"/>
          <w:b/>
          <w:bCs/>
          <w:sz w:val="28"/>
          <w:szCs w:val="28"/>
        </w:rPr>
        <w:t xml:space="preserve"> deployments </w:t>
      </w:r>
    </w:p>
    <w:p>
      <w:pPr>
        <w:snapToGrid w:val="0"/>
        <w:spacing w:before="120" w:after="120" w:afterLines="50" w:line="300" w:lineRule="auto"/>
        <w:rPr>
          <w:rFonts w:eastAsia="微软雅黑"/>
          <w:szCs w:val="20"/>
          <w:lang w:val="en-GB"/>
        </w:rPr>
      </w:pPr>
      <w:r>
        <w:rPr>
          <w:rFonts w:hint="eastAsia" w:eastAsia="微软雅黑"/>
          <w:szCs w:val="20"/>
          <w:lang w:val="en-GB"/>
        </w:rPr>
        <w:t xml:space="preserve">Among </w:t>
      </w:r>
      <w:r>
        <w:rPr>
          <w:rFonts w:eastAsia="微软雅黑"/>
          <w:szCs w:val="20"/>
          <w:lang w:val="en-GB"/>
        </w:rPr>
        <w:t>items</w:t>
      </w:r>
      <w:r>
        <w:rPr>
          <w:rFonts w:hint="eastAsia" w:eastAsia="微软雅黑"/>
          <w:szCs w:val="20"/>
        </w:rPr>
        <w:t xml:space="preserve"> in </w:t>
      </w:r>
      <w:r>
        <w:rPr>
          <w:rFonts w:eastAsia="微软雅黑"/>
          <w:szCs w:val="20"/>
        </w:rPr>
        <w:t xml:space="preserve">this </w:t>
      </w:r>
      <w:r>
        <w:rPr>
          <w:rFonts w:hint="eastAsia" w:eastAsia="微软雅黑"/>
          <w:szCs w:val="20"/>
        </w:rPr>
        <w:t>WID</w:t>
      </w:r>
      <w:r>
        <w:rPr>
          <w:rFonts w:eastAsia="微软雅黑"/>
          <w:szCs w:val="20"/>
        </w:rPr>
        <w:t xml:space="preserve"> for DL and UL MIMO, </w:t>
      </w:r>
      <w:r>
        <w:rPr>
          <w:rFonts w:eastAsia="微软雅黑"/>
          <w:szCs w:val="20"/>
          <w:lang w:val="en-GB"/>
        </w:rPr>
        <w:t>the aspects for CSI enhancement for CJT</w:t>
      </w:r>
      <w:r>
        <w:rPr>
          <w:rFonts w:hint="eastAsia" w:eastAsia="微软雅黑"/>
          <w:szCs w:val="20"/>
        </w:rPr>
        <w:t xml:space="preserve"> </w:t>
      </w:r>
      <w:r>
        <w:rPr>
          <w:rFonts w:eastAsia="Times New Roman"/>
          <w:szCs w:val="24"/>
          <w:lang w:eastAsia="en-US"/>
        </w:rPr>
        <w:t>deployments under non-ideal synchronization and backhaul targeting FR1</w:t>
      </w:r>
      <w:r>
        <w:rPr>
          <w:rFonts w:eastAsia="微软雅黑"/>
          <w:szCs w:val="20"/>
          <w:lang w:val="en-GB"/>
        </w:rPr>
        <w:t xml:space="preserve"> a</w:t>
      </w:r>
      <w:r>
        <w:rPr>
          <w:rFonts w:hint="eastAsia" w:eastAsia="微软雅黑"/>
          <w:szCs w:val="20"/>
          <w:lang w:val="en-GB"/>
        </w:rPr>
        <w:t xml:space="preserve">re listed </w:t>
      </w:r>
      <w:r>
        <w:rPr>
          <w:rFonts w:hint="eastAsia" w:eastAsia="微软雅黑"/>
          <w:szCs w:val="20"/>
        </w:rPr>
        <w:t xml:space="preserve">as </w:t>
      </w:r>
      <w:r>
        <w:rPr>
          <w:rFonts w:hint="eastAsia" w:eastAsia="微软雅黑"/>
          <w:szCs w:val="20"/>
          <w:lang w:val="en-GB"/>
        </w:rPr>
        <w:t>below.</w:t>
      </w: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9"/>
              </w:numPr>
              <w:tabs>
                <w:tab w:val="left" w:pos="300"/>
                <w:tab w:val="clear" w:pos="720"/>
              </w:tabs>
              <w:snapToGrid w:val="0"/>
              <w:spacing w:after="0"/>
              <w:rPr>
                <w:rFonts w:eastAsia="Times New Roman"/>
                <w:szCs w:val="24"/>
                <w:lang w:eastAsia="en-US"/>
              </w:rPr>
            </w:pPr>
            <w:r>
              <w:rPr>
                <w:rFonts w:eastAsia="Times New Roman"/>
                <w:szCs w:val="24"/>
                <w:lang w:eastAsia="en-US"/>
              </w:rPr>
              <w:t xml:space="preserve">Specify UE reporting enhancement for CJT deployments under non-ideal synchronization and backhaul, targeting FR1, both FDD and TDD </w:t>
            </w:r>
          </w:p>
          <w:p>
            <w:pPr>
              <w:numPr>
                <w:ilvl w:val="0"/>
                <w:numId w:val="12"/>
              </w:numPr>
              <w:snapToGrid w:val="0"/>
              <w:spacing w:after="0"/>
              <w:rPr>
                <w:bCs/>
              </w:rPr>
            </w:pPr>
            <w:r>
              <w:rPr>
                <w:rFonts w:eastAsia="Times New Roman"/>
                <w:szCs w:val="24"/>
                <w:lang w:eastAsia="en-US"/>
              </w:rPr>
              <w:t>Inter-TRP time misalignment and frequency/phase offset measurement and reporting, assuming legacy CSI-RS design, with stand-alone aperiodic reporting on PUSCH</w:t>
            </w:r>
          </w:p>
        </w:tc>
      </w:tr>
    </w:tbl>
    <w:p>
      <w:pPr>
        <w:spacing w:before="200"/>
      </w:pPr>
      <w:r>
        <w:rPr>
          <w:rFonts w:hint="eastAsia"/>
        </w:rPr>
        <w:t xml:space="preserve">Figure 6 shows the architecture of m-TRP CJT. In real deployment, the non-ideal synchronization and backhaul causes inter-TRP time/frequency misalignment, and may lead to strong frequency selectivity and time variability of the channel. To ensure the CJT performance, such time/frequency misalignment needs to be measured and compensated in PDSCH </w:t>
      </w:r>
      <w:bookmarkStart w:id="1" w:name="OLE_LINK10"/>
      <w:r>
        <w:rPr>
          <w:rFonts w:hint="eastAsia"/>
        </w:rPr>
        <w:t>transmission</w:t>
      </w:r>
      <w:bookmarkEnd w:id="1"/>
      <w:r>
        <w:rPr>
          <w:rFonts w:hint="eastAsia"/>
        </w:rPr>
        <w:t>.</w:t>
      </w:r>
    </w:p>
    <w:p>
      <w:pPr>
        <w:jc w:val="center"/>
      </w:pPr>
      <w:r>
        <w:pict>
          <v:shape id="_x0000_i1026" o:spt="75" type="#_x0000_t75" style="height:160.9pt;width:198.45pt;" filled="f" o:preferrelative="t" stroked="f" coordsize="21600,21600">
            <v:path/>
            <v:fill on="f" focussize="0,0"/>
            <v:stroke on="f" joinstyle="miter"/>
            <v:imagedata r:id="rId13" o:title=""/>
            <o:lock v:ext="edit" aspectratio="t"/>
            <w10:wrap type="none"/>
            <w10:anchorlock/>
          </v:shape>
        </w:pict>
      </w:r>
    </w:p>
    <w:p>
      <w:pPr>
        <w:jc w:val="center"/>
      </w:pPr>
      <w:r>
        <w:rPr>
          <w:rFonts w:hint="eastAsia"/>
          <w:b/>
          <w:bCs/>
        </w:rPr>
        <w:t>Figure 6</w:t>
      </w:r>
      <w:r>
        <w:rPr>
          <w:rFonts w:hint="eastAsia"/>
        </w:rPr>
        <w:t xml:space="preserve"> Diagram of CJT architecture</w:t>
      </w:r>
    </w:p>
    <w:p>
      <w:r>
        <w:rPr>
          <w:rFonts w:hint="eastAsia"/>
        </w:rPr>
        <w:t xml:space="preserve">The benefits of inter-TRP time/frequency calibration were evaluated through SLS. Figure 7 shows the DL throughput with only time or frequency calibration and joint time and frequency calibration. It is observed that, there are approximately 6% or 7% average throughput gain with only time or frequency calibration, and approximately 17% average throughput gain with joint time/frequency calibration. The simulation assumptions can be found in </w:t>
      </w:r>
      <w:r>
        <w:t>T</w:t>
      </w:r>
      <w:r>
        <w:rPr>
          <w:rFonts w:hint="eastAsia"/>
        </w:rPr>
        <w:t xml:space="preserve">able 4 </w:t>
      </w:r>
      <w:r>
        <w:t xml:space="preserve">in </w:t>
      </w:r>
      <w:r>
        <w:rPr>
          <w:rFonts w:hint="eastAsia"/>
        </w:rPr>
        <w:t>the appendix.</w:t>
      </w:r>
    </w:p>
    <w:p>
      <w:pPr>
        <w:rPr>
          <w:b/>
          <w:bCs/>
          <w:i/>
          <w:iCs/>
        </w:rPr>
      </w:pPr>
      <w:r>
        <w:rPr>
          <w:rFonts w:hint="eastAsia"/>
          <w:b/>
          <w:bCs/>
          <w:i/>
          <w:iCs/>
        </w:rPr>
        <w:t xml:space="preserve">Observation </w:t>
      </w:r>
      <w:r>
        <w:rPr>
          <w:b/>
          <w:bCs/>
          <w:i/>
          <w:iCs/>
        </w:rPr>
        <w:t>6</w:t>
      </w:r>
      <w:r>
        <w:rPr>
          <w:rFonts w:hint="eastAsia"/>
          <w:b/>
          <w:bCs/>
          <w:i/>
          <w:iCs/>
        </w:rPr>
        <w:t xml:space="preserve">: </w:t>
      </w:r>
      <w:r>
        <w:rPr>
          <w:rFonts w:hint="eastAsia"/>
          <w:i/>
          <w:iCs/>
        </w:rPr>
        <w:t xml:space="preserve">Inter-TRP time/frequency calibration can bring significant throughput gain for CJT with non-ideal synchronization and </w:t>
      </w:r>
      <w:r>
        <w:rPr>
          <w:i/>
          <w:iCs/>
        </w:rPr>
        <w:t>backhaul</w:t>
      </w:r>
      <w:r>
        <w:rPr>
          <w:rFonts w:hint="eastAsia"/>
          <w:i/>
          <w:iCs/>
        </w:rPr>
        <w:t>.</w:t>
      </w:r>
    </w:p>
    <w:p>
      <w:pPr>
        <w:jc w:val="center"/>
      </w:pPr>
      <w:r>
        <w:drawing>
          <wp:inline distT="0" distB="0" distL="114300" distR="114300">
            <wp:extent cx="3239770" cy="1896745"/>
            <wp:effectExtent l="0" t="0" r="17780" b="8255"/>
            <wp:docPr id="14"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hart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39770" cy="1896745"/>
                    </a:xfrm>
                    <a:prstGeom prst="rect">
                      <a:avLst/>
                    </a:prstGeom>
                    <a:noFill/>
                    <a:ln>
                      <a:noFill/>
                    </a:ln>
                  </pic:spPr>
                </pic:pic>
              </a:graphicData>
            </a:graphic>
          </wp:inline>
        </w:drawing>
      </w:r>
    </w:p>
    <w:p>
      <w:pPr>
        <w:jc w:val="center"/>
      </w:pPr>
      <w:r>
        <w:rPr>
          <w:rFonts w:hint="eastAsia"/>
          <w:b/>
          <w:bCs/>
        </w:rPr>
        <w:t>Figure 7</w:t>
      </w:r>
      <w:r>
        <w:rPr>
          <w:rFonts w:hint="eastAsia"/>
        </w:rPr>
        <w:t xml:space="preserve"> DL throughput gain obtained with inter-TRP time/frequency gain</w:t>
      </w:r>
    </w:p>
    <w:p>
      <w:pPr>
        <w:numPr>
          <w:ilvl w:val="1"/>
          <w:numId w:val="8"/>
        </w:numPr>
        <w:snapToGrid w:val="0"/>
        <w:spacing w:after="120" w:afterLines="50" w:line="25" w:lineRule="atLeast"/>
        <w:outlineLvl w:val="1"/>
        <w:rPr>
          <w:b/>
          <w:sz w:val="24"/>
          <w:szCs w:val="20"/>
        </w:rPr>
      </w:pPr>
      <w:r>
        <w:rPr>
          <w:rFonts w:hint="eastAsia"/>
          <w:b/>
          <w:sz w:val="24"/>
          <w:szCs w:val="20"/>
        </w:rPr>
        <w:t>Inter-TRP time/delay misalignment measurement and reporting</w:t>
      </w:r>
    </w:p>
    <w:p>
      <w:pPr>
        <w:snapToGrid w:val="0"/>
        <w:spacing w:before="120" w:beforeLines="50" w:after="120" w:afterLines="50" w:line="300" w:lineRule="auto"/>
        <w:rPr>
          <w:rFonts w:eastAsia="微软雅黑"/>
          <w:szCs w:val="20"/>
        </w:rPr>
      </w:pPr>
      <w:bookmarkStart w:id="2" w:name="OLE_LINK9"/>
      <w:r>
        <w:rPr>
          <w:rFonts w:hint="eastAsia" w:eastAsia="微软雅黑"/>
          <w:szCs w:val="20"/>
        </w:rPr>
        <w:t>In real-field CJT deployment, the propagation delays from different TRPs to a UE can be different. Furthermore, the DL timing differences across different TRPs would add upon these propagation delay differences. As a result, the inter-TRP time misalignment could cause significant CJT performance degradation due to the strong frequency selectivity of the mTRP channel. To address this issue, the inter-TRP time misalignment should be measured and pre-compensated.</w:t>
      </w:r>
      <w:bookmarkEnd w:id="2"/>
    </w:p>
    <w:p>
      <w:pPr>
        <w:snapToGrid w:val="0"/>
        <w:spacing w:before="120" w:beforeLines="50" w:after="120" w:afterLines="50" w:line="300" w:lineRule="auto"/>
        <w:rPr>
          <w:rFonts w:eastAsia="微软雅黑"/>
          <w:szCs w:val="20"/>
        </w:rPr>
      </w:pPr>
      <w:r>
        <w:rPr>
          <w:rFonts w:hint="eastAsia" w:eastAsia="微软雅黑"/>
          <w:szCs w:val="20"/>
        </w:rPr>
        <w:t>For inter-TRP time/delay misalignment measurement, two kinds of scenarios should be considered:</w:t>
      </w:r>
    </w:p>
    <w:p>
      <w:pPr>
        <w:numPr>
          <w:ilvl w:val="0"/>
          <w:numId w:val="13"/>
        </w:numPr>
        <w:snapToGrid w:val="0"/>
        <w:spacing w:before="120" w:beforeLines="50" w:after="120" w:afterLines="50" w:line="300" w:lineRule="auto"/>
        <w:rPr>
          <w:rFonts w:eastAsia="微软雅黑"/>
          <w:szCs w:val="20"/>
        </w:rPr>
      </w:pPr>
      <w:r>
        <w:rPr>
          <w:rFonts w:hint="eastAsia" w:eastAsia="微软雅黑"/>
          <w:szCs w:val="20"/>
        </w:rPr>
        <w:t>Scenario #1: The delay is shorter than CP;</w:t>
      </w:r>
    </w:p>
    <w:p>
      <w:pPr>
        <w:numPr>
          <w:ilvl w:val="0"/>
          <w:numId w:val="13"/>
        </w:numPr>
        <w:snapToGrid w:val="0"/>
        <w:spacing w:before="120" w:beforeLines="50" w:after="120" w:afterLines="50" w:line="300" w:lineRule="auto"/>
        <w:rPr>
          <w:rFonts w:eastAsia="微软雅黑"/>
          <w:szCs w:val="20"/>
        </w:rPr>
      </w:pPr>
      <w:r>
        <w:rPr>
          <w:rFonts w:hint="eastAsia" w:eastAsia="微软雅黑"/>
          <w:szCs w:val="20"/>
        </w:rPr>
        <w:t xml:space="preserve">Scenario #2: The delay is </w:t>
      </w:r>
      <w:r>
        <w:rPr>
          <w:rFonts w:eastAsia="微软雅黑"/>
          <w:szCs w:val="20"/>
        </w:rPr>
        <w:t xml:space="preserve">closed to or even larger </w:t>
      </w:r>
      <w:r>
        <w:rPr>
          <w:rFonts w:hint="eastAsia" w:eastAsia="微软雅黑"/>
          <w:szCs w:val="20"/>
        </w:rPr>
        <w:t>than CP.</w:t>
      </w:r>
    </w:p>
    <w:p>
      <w:pPr>
        <w:snapToGrid w:val="0"/>
        <w:spacing w:before="120" w:beforeLines="50" w:after="120" w:afterLines="50" w:line="300" w:lineRule="auto"/>
        <w:rPr>
          <w:rFonts w:hAnsi="Cambria Math" w:eastAsia="微软雅黑"/>
          <w:iCs/>
          <w:szCs w:val="20"/>
        </w:rPr>
      </w:pPr>
      <w:r>
        <w:rPr>
          <w:rFonts w:hint="eastAsia" w:eastAsia="微软雅黑"/>
          <w:szCs w:val="20"/>
        </w:rPr>
        <w:t xml:space="preserve">In </w:t>
      </w:r>
      <w:r>
        <w:rPr>
          <w:rFonts w:eastAsia="微软雅黑"/>
          <w:szCs w:val="20"/>
        </w:rPr>
        <w:t>S</w:t>
      </w:r>
      <w:r>
        <w:rPr>
          <w:rFonts w:hint="eastAsia" w:eastAsia="微软雅黑"/>
          <w:szCs w:val="20"/>
        </w:rPr>
        <w:t xml:space="preserve">cenario#1, the delay would cause a linearly varying phase shift in the frequency domain. Assuming </w:t>
      </w:r>
      <m:oMath>
        <w:bookmarkStart w:id="3" w:name="OLE_LINK17"/>
        <m:r>
          <m:rPr/>
          <w:rPr>
            <w:rFonts w:ascii="Cambria Math" w:hAnsi="Cambria Math" w:eastAsia="微软雅黑"/>
            <w:szCs w:val="20"/>
          </w:rPr>
          <m:t>ℎ(</m:t>
        </m:r>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1</m:t>
            </m:r>
            <m:ctrlPr>
              <w:rPr>
                <w:rFonts w:ascii="Cambria Math" w:hAnsi="Cambria Math" w:eastAsia="微软雅黑"/>
                <w:i/>
                <w:iCs/>
                <w:szCs w:val="20"/>
              </w:rPr>
            </m:ctrlPr>
          </m:sub>
        </m:sSub>
        <m:r>
          <m:rPr/>
          <w:rPr>
            <w:rFonts w:ascii="Cambria Math" w:hAnsi="Cambria Math" w:eastAsia="微软雅黑"/>
            <w:szCs w:val="20"/>
          </w:rPr>
          <m:t>)</m:t>
        </m:r>
        <w:bookmarkEnd w:id="3"/>
      </m:oMath>
      <w:r>
        <w:rPr>
          <w:rFonts w:hint="eastAsia" w:hAnsi="Cambria Math" w:eastAsia="微软雅黑"/>
          <w:iCs/>
          <w:szCs w:val="20"/>
        </w:rPr>
        <w:t xml:space="preserve"> and </w:t>
      </w:r>
      <m:oMath>
        <m:r>
          <m:rPr/>
          <w:rPr>
            <w:rFonts w:ascii="Cambria Math" w:hAnsi="Cambria Math" w:eastAsia="微软雅黑"/>
            <w:szCs w:val="20"/>
          </w:rPr>
          <m:t>ℎ(</m:t>
        </m:r>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2</m:t>
            </m:r>
            <m:ctrlPr>
              <w:rPr>
                <w:rFonts w:ascii="Cambria Math" w:hAnsi="Cambria Math" w:eastAsia="微软雅黑"/>
                <w:i/>
                <w:iCs/>
                <w:szCs w:val="20"/>
              </w:rPr>
            </m:ctrlPr>
          </m:sub>
        </m:sSub>
        <m:r>
          <m:rPr/>
          <w:rPr>
            <w:rFonts w:ascii="Cambria Math" w:hAnsi="Cambria Math" w:eastAsia="微软雅黑"/>
            <w:szCs w:val="20"/>
          </w:rPr>
          <m:t>)</m:t>
        </m:r>
      </m:oMath>
      <w:r>
        <w:rPr>
          <w:rFonts w:hint="eastAsia" w:hAnsi="Cambria Math" w:eastAsia="微软雅黑"/>
          <w:szCs w:val="20"/>
        </w:rPr>
        <w:t xml:space="preserve"> are the channel responses for subcarriers </w:t>
      </w:r>
      <m:oMath>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1</m:t>
            </m:r>
            <m:ctrlPr>
              <w:rPr>
                <w:rFonts w:ascii="Cambria Math" w:hAnsi="Cambria Math" w:eastAsia="微软雅黑"/>
                <w:i/>
                <w:iCs/>
                <w:szCs w:val="20"/>
              </w:rPr>
            </m:ctrlPr>
          </m:sub>
        </m:sSub>
      </m:oMath>
      <w:r>
        <w:rPr>
          <w:rFonts w:hint="eastAsia" w:hAnsi="Cambria Math" w:eastAsia="微软雅黑"/>
          <w:iCs/>
          <w:szCs w:val="20"/>
        </w:rPr>
        <w:t xml:space="preserve"> and </w:t>
      </w:r>
      <m:oMath>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2</m:t>
            </m:r>
            <m:ctrlPr>
              <w:rPr>
                <w:rFonts w:ascii="Cambria Math" w:hAnsi="Cambria Math" w:eastAsia="微软雅黑"/>
                <w:i/>
                <w:iCs/>
                <w:szCs w:val="20"/>
              </w:rPr>
            </m:ctrlPr>
          </m:sub>
        </m:sSub>
      </m:oMath>
      <w:r>
        <w:rPr>
          <w:rFonts w:hint="eastAsia" w:hAnsi="Cambria Math" w:eastAsia="微软雅黑"/>
          <w:iCs/>
          <w:szCs w:val="20"/>
        </w:rPr>
        <w:t xml:space="preserve">, the phase shift caused by the delay </w:t>
      </w:r>
      <m:oMath>
        <m:r>
          <m:rPr/>
          <w:rPr>
            <w:rFonts w:ascii="Cambria Math" w:hAnsi="Cambria Math"/>
            <w:szCs w:val="20"/>
          </w:rPr>
          <m:t>τ</m:t>
        </m:r>
      </m:oMath>
      <w:r>
        <w:rPr>
          <w:rFonts w:hint="eastAsia" w:hAnsi="Cambria Math" w:eastAsia="微软雅黑"/>
          <w:iCs/>
          <w:szCs w:val="20"/>
        </w:rPr>
        <w:t xml:space="preserve"> across these two subcarriers can be expressed as</w:t>
      </w:r>
    </w:p>
    <w:p>
      <w:pPr>
        <w:snapToGrid w:val="0"/>
        <w:spacing w:before="120" w:beforeLines="50" w:after="120" w:afterLines="50" w:line="300" w:lineRule="auto"/>
        <w:rPr>
          <w:rFonts w:hAnsi="Cambria Math"/>
          <w:i/>
          <w:szCs w:val="20"/>
        </w:rPr>
      </w:pPr>
      <m:oMathPara>
        <m:oMath>
          <m:r>
            <m:rPr/>
            <w:rPr>
              <w:rFonts w:ascii="Cambria Math" w:hAnsi="Cambria Math"/>
              <w:szCs w:val="20"/>
            </w:rPr>
            <m:t>φ=</m:t>
          </m:r>
          <m:r>
            <m:rPr>
              <m:sty m:val="p"/>
            </m:rPr>
            <w:rPr>
              <w:rFonts w:ascii="Cambria Math" w:hAnsi="Cambria Math"/>
              <w:szCs w:val="20"/>
            </w:rPr>
            <m:t>angle</m:t>
          </m:r>
          <m:d>
            <m:dPr>
              <m:ctrlPr>
                <w:rPr>
                  <w:rFonts w:ascii="Cambria Math" w:hAnsi="Cambria Math"/>
                  <w:i/>
                  <w:szCs w:val="20"/>
                </w:rPr>
              </m:ctrlPr>
            </m:dPr>
            <m:e>
              <m:f>
                <m:fPr>
                  <m:type m:val="lin"/>
                  <m:ctrlPr>
                    <w:rPr>
                      <w:rFonts w:ascii="Cambria Math" w:hAnsi="Cambria Math"/>
                      <w:i/>
                      <w:szCs w:val="20"/>
                    </w:rPr>
                  </m:ctrlPr>
                </m:fPr>
                <w:bookmarkStart w:id="4" w:name="OLE_LINK22"/>
                <m:num>
                  <m:r>
                    <m:rPr/>
                    <w:rPr>
                      <w:rFonts w:ascii="Cambria Math" w:hAnsi="Cambria Math" w:eastAsia="微软雅黑"/>
                      <w:szCs w:val="20"/>
                    </w:rPr>
                    <m:t>ℎ(</m:t>
                  </m:r>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1</m:t>
                      </m:r>
                      <m:ctrlPr>
                        <w:rPr>
                          <w:rFonts w:ascii="Cambria Math" w:hAnsi="Cambria Math" w:eastAsia="微软雅黑"/>
                          <w:i/>
                          <w:iCs/>
                          <w:szCs w:val="20"/>
                        </w:rPr>
                      </m:ctrlPr>
                    </m:sub>
                  </m:sSub>
                  <m:r>
                    <m:rPr/>
                    <w:rPr>
                      <w:rFonts w:ascii="Cambria Math" w:hAnsi="Cambria Math" w:eastAsia="微软雅黑"/>
                      <w:szCs w:val="20"/>
                    </w:rPr>
                    <m:t>)</m:t>
                  </m:r>
                  <m:ctrlPr>
                    <w:rPr>
                      <w:rFonts w:ascii="Cambria Math" w:hAnsi="Cambria Math"/>
                      <w:i/>
                      <w:szCs w:val="20"/>
                    </w:rPr>
                  </m:ctrlPr>
                </m:num>
                <m:den>
                  <m:r>
                    <m:rPr/>
                    <w:rPr>
                      <w:rFonts w:ascii="Cambria Math" w:hAnsi="Cambria Math" w:eastAsia="微软雅黑"/>
                      <w:szCs w:val="20"/>
                    </w:rPr>
                    <m:t>ℎ(</m:t>
                  </m:r>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2</m:t>
                      </m:r>
                      <m:ctrlPr>
                        <w:rPr>
                          <w:rFonts w:ascii="Cambria Math" w:hAnsi="Cambria Math" w:eastAsia="微软雅黑"/>
                          <w:i/>
                          <w:iCs/>
                          <w:szCs w:val="20"/>
                        </w:rPr>
                      </m:ctrlPr>
                    </m:sub>
                  </m:sSub>
                  <m:r>
                    <m:rPr/>
                    <w:rPr>
                      <w:rFonts w:ascii="Cambria Math" w:hAnsi="Cambria Math" w:eastAsia="微软雅黑"/>
                      <w:szCs w:val="20"/>
                    </w:rPr>
                    <m:t>)</m:t>
                  </m:r>
                  <w:bookmarkEnd w:id="4"/>
                  <m:ctrlPr>
                    <w:rPr>
                      <w:rFonts w:ascii="Cambria Math" w:hAnsi="Cambria Math"/>
                      <w:i/>
                      <w:szCs w:val="20"/>
                    </w:rPr>
                  </m:ctrlPr>
                </m:den>
              </m:f>
              <m:ctrlPr>
                <w:rPr>
                  <w:rFonts w:ascii="Cambria Math" w:hAnsi="Cambria Math"/>
                  <w:i/>
                  <w:szCs w:val="20"/>
                </w:rPr>
              </m:ctrlPr>
            </m:e>
          </m:d>
          <m:r>
            <m:rPr/>
            <w:rPr>
              <w:rFonts w:ascii="Cambria Math" w:hAnsi="Cambria Math"/>
              <w:szCs w:val="20"/>
            </w:rPr>
            <m:t>=2πτ</m:t>
          </m:r>
          <m:d>
            <m:dPr>
              <m:ctrlPr>
                <w:rPr>
                  <w:rFonts w:ascii="Cambria Math" w:hAnsi="Cambria Math"/>
                  <w:i/>
                  <w:szCs w:val="20"/>
                </w:rPr>
              </m:ctrlPr>
            </m:dPr>
            <m:e>
              <m:r>
                <m:rPr/>
                <w:rPr>
                  <w:rFonts w:ascii="Cambria Math" w:hAnsi="Cambria Math"/>
                  <w:szCs w:val="20"/>
                </w:rPr>
                <m:t>f</m:t>
              </m:r>
              <m:r>
                <m:rPr/>
                <w:rPr>
                  <w:rFonts w:ascii="Cambria Math" w:hAnsi="Cambria Math" w:eastAsia="微软雅黑"/>
                  <w:szCs w:val="20"/>
                </w:rPr>
                <m:t>(</m:t>
              </m:r>
              <m:sSub>
                <m:sSubPr>
                  <m:ctrlPr>
                    <w:rPr>
                      <w:rFonts w:ascii="Cambria Math" w:hAnsi="Cambria Math" w:eastAsia="微软雅黑"/>
                      <w:i/>
                      <w:szCs w:val="20"/>
                    </w:rPr>
                  </m:ctrlPr>
                </m:sSubPr>
                <m:e>
                  <m:r>
                    <m:rPr/>
                    <w:rPr>
                      <w:rFonts w:ascii="Cambria Math" w:hAnsi="Cambria Math" w:eastAsia="微软雅黑"/>
                      <w:szCs w:val="20"/>
                    </w:rPr>
                    <m:t>n</m:t>
                  </m:r>
                  <m:ctrlPr>
                    <w:rPr>
                      <w:rFonts w:ascii="Cambria Math" w:hAnsi="Cambria Math" w:eastAsia="微软雅黑"/>
                      <w:i/>
                      <w:szCs w:val="20"/>
                    </w:rPr>
                  </m:ctrlPr>
                </m:e>
                <m:sub>
                  <m:r>
                    <m:rPr/>
                    <w:rPr>
                      <w:rFonts w:ascii="Cambria Math" w:hAnsi="Cambria Math" w:eastAsia="微软雅黑"/>
                      <w:szCs w:val="20"/>
                    </w:rPr>
                    <m:t>1</m:t>
                  </m:r>
                  <m:ctrlPr>
                    <w:rPr>
                      <w:rFonts w:ascii="Cambria Math" w:hAnsi="Cambria Math" w:eastAsia="微软雅黑"/>
                      <w:i/>
                      <w:szCs w:val="20"/>
                    </w:rPr>
                  </m:ctrlPr>
                </m:sub>
              </m:sSub>
              <m:r>
                <m:rPr/>
                <w:rPr>
                  <w:rFonts w:ascii="Cambria Math" w:hAnsi="Cambria Math" w:eastAsia="微软雅黑"/>
                  <w:szCs w:val="20"/>
                </w:rPr>
                <m:t>)−</m:t>
              </m:r>
              <m:r>
                <m:rPr/>
                <w:rPr>
                  <w:rFonts w:ascii="Cambria Math" w:hAnsi="Cambria Math"/>
                  <w:szCs w:val="20"/>
                </w:rPr>
                <m:t>f</m:t>
              </m:r>
              <m:r>
                <m:rPr/>
                <w:rPr>
                  <w:rFonts w:ascii="Cambria Math" w:hAnsi="Cambria Math" w:eastAsia="微软雅黑"/>
                  <w:szCs w:val="20"/>
                </w:rPr>
                <m:t>(</m:t>
              </m:r>
              <m:sSub>
                <m:sSubPr>
                  <m:ctrlPr>
                    <w:rPr>
                      <w:rFonts w:ascii="Cambria Math" w:hAnsi="Cambria Math" w:eastAsia="微软雅黑"/>
                      <w:i/>
                      <w:szCs w:val="20"/>
                    </w:rPr>
                  </m:ctrlPr>
                </m:sSubPr>
                <m:e>
                  <m:r>
                    <m:rPr/>
                    <w:rPr>
                      <w:rFonts w:ascii="Cambria Math" w:hAnsi="Cambria Math" w:eastAsia="微软雅黑"/>
                      <w:szCs w:val="20"/>
                    </w:rPr>
                    <m:t>n</m:t>
                  </m:r>
                  <m:ctrlPr>
                    <w:rPr>
                      <w:rFonts w:ascii="Cambria Math" w:hAnsi="Cambria Math" w:eastAsia="微软雅黑"/>
                      <w:i/>
                      <w:szCs w:val="20"/>
                    </w:rPr>
                  </m:ctrlPr>
                </m:e>
                <m:sub>
                  <m:r>
                    <m:rPr/>
                    <w:rPr>
                      <w:rFonts w:ascii="Cambria Math" w:hAnsi="Cambria Math" w:eastAsia="微软雅黑"/>
                      <w:szCs w:val="20"/>
                    </w:rPr>
                    <m:t>2</m:t>
                  </m:r>
                  <m:ctrlPr>
                    <w:rPr>
                      <w:rFonts w:ascii="Cambria Math" w:hAnsi="Cambria Math" w:eastAsia="微软雅黑"/>
                      <w:i/>
                      <w:szCs w:val="20"/>
                    </w:rPr>
                  </m:ctrlPr>
                </m:sub>
              </m:sSub>
              <m:r>
                <m:rPr/>
                <w:rPr>
                  <w:rFonts w:ascii="Cambria Math" w:hAnsi="Cambria Math" w:eastAsia="微软雅黑"/>
                  <w:szCs w:val="20"/>
                </w:rPr>
                <m:t>)</m:t>
              </m:r>
              <m:ctrlPr>
                <w:rPr>
                  <w:rFonts w:ascii="Cambria Math" w:hAnsi="Cambria Math"/>
                  <w:i/>
                  <w:szCs w:val="20"/>
                </w:rPr>
              </m:ctrlPr>
            </m:e>
          </m:d>
        </m:oMath>
      </m:oMathPara>
    </w:p>
    <w:p>
      <w:pPr>
        <w:snapToGrid w:val="0"/>
        <w:spacing w:before="120" w:beforeLines="50" w:after="120" w:afterLines="50" w:line="300" w:lineRule="auto"/>
        <w:rPr>
          <w:rFonts w:eastAsia="微软雅黑"/>
          <w:szCs w:val="20"/>
        </w:rPr>
      </w:pPr>
      <w:r>
        <w:rPr>
          <w:rFonts w:hint="eastAsia" w:eastAsia="微软雅黑"/>
          <w:szCs w:val="20"/>
        </w:rPr>
        <w:t xml:space="preserve">where </w:t>
      </w:r>
      <m:oMath>
        <m:r>
          <m:rPr/>
          <w:rPr>
            <w:rFonts w:ascii="Cambria Math" w:hAnsi="Cambria Math"/>
            <w:szCs w:val="20"/>
          </w:rPr>
          <m:t>f</m:t>
        </m:r>
        <m:r>
          <m:rPr/>
          <w:rPr>
            <w:rFonts w:ascii="Cambria Math" w:hAnsi="Cambria Math" w:eastAsia="微软雅黑"/>
            <w:szCs w:val="20"/>
          </w:rPr>
          <m:t>(</m:t>
        </m:r>
        <m:sSub>
          <m:sSubPr>
            <m:ctrlPr>
              <w:rPr>
                <w:rFonts w:ascii="Cambria Math" w:hAnsi="Cambria Math" w:eastAsia="微软雅黑"/>
                <w:i/>
                <w:szCs w:val="20"/>
              </w:rPr>
            </m:ctrlPr>
          </m:sSubPr>
          <m:e>
            <m:r>
              <m:rPr/>
              <w:rPr>
                <w:rFonts w:ascii="Cambria Math" w:hAnsi="Cambria Math" w:eastAsia="微软雅黑"/>
                <w:szCs w:val="20"/>
              </w:rPr>
              <m:t>n</m:t>
            </m:r>
            <m:ctrlPr>
              <w:rPr>
                <w:rFonts w:ascii="Cambria Math" w:hAnsi="Cambria Math" w:eastAsia="微软雅黑"/>
                <w:i/>
                <w:szCs w:val="20"/>
              </w:rPr>
            </m:ctrlPr>
          </m:e>
          <m:sub>
            <m:r>
              <m:rPr/>
              <w:rPr>
                <w:rFonts w:ascii="Cambria Math" w:hAnsi="Cambria Math" w:eastAsia="微软雅黑"/>
                <w:szCs w:val="20"/>
              </w:rPr>
              <m:t>1</m:t>
            </m:r>
            <m:ctrlPr>
              <w:rPr>
                <w:rFonts w:ascii="Cambria Math" w:hAnsi="Cambria Math" w:eastAsia="微软雅黑"/>
                <w:i/>
                <w:szCs w:val="20"/>
              </w:rPr>
            </m:ctrlPr>
          </m:sub>
        </m:sSub>
        <m:r>
          <m:rPr/>
          <w:rPr>
            <w:rFonts w:ascii="Cambria Math" w:hAnsi="Cambria Math" w:eastAsia="微软雅黑"/>
            <w:szCs w:val="20"/>
          </w:rPr>
          <m:t>)</m:t>
        </m:r>
      </m:oMath>
      <w:r>
        <w:rPr>
          <w:rFonts w:hint="eastAsia" w:hAnsi="Cambria Math" w:eastAsia="微软雅黑"/>
          <w:szCs w:val="20"/>
        </w:rPr>
        <w:t xml:space="preserve"> and </w:t>
      </w:r>
      <m:oMath>
        <m:r>
          <m:rPr/>
          <w:rPr>
            <w:rFonts w:ascii="Cambria Math" w:hAnsi="Cambria Math"/>
            <w:szCs w:val="20"/>
          </w:rPr>
          <m:t>f</m:t>
        </m:r>
        <m:r>
          <m:rPr/>
          <w:rPr>
            <w:rFonts w:ascii="Cambria Math" w:hAnsi="Cambria Math" w:eastAsia="微软雅黑"/>
            <w:szCs w:val="20"/>
          </w:rPr>
          <m:t>(</m:t>
        </m:r>
        <m:sSub>
          <m:sSubPr>
            <m:ctrlPr>
              <w:rPr>
                <w:rFonts w:ascii="Cambria Math" w:hAnsi="Cambria Math" w:eastAsia="微软雅黑"/>
                <w:i/>
                <w:szCs w:val="20"/>
              </w:rPr>
            </m:ctrlPr>
          </m:sSubPr>
          <m:e>
            <m:r>
              <m:rPr/>
              <w:rPr>
                <w:rFonts w:ascii="Cambria Math" w:hAnsi="Cambria Math" w:eastAsia="微软雅黑"/>
                <w:szCs w:val="20"/>
              </w:rPr>
              <m:t>n</m:t>
            </m:r>
            <m:ctrlPr>
              <w:rPr>
                <w:rFonts w:ascii="Cambria Math" w:hAnsi="Cambria Math" w:eastAsia="微软雅黑"/>
                <w:i/>
                <w:szCs w:val="20"/>
              </w:rPr>
            </m:ctrlPr>
          </m:e>
          <m:sub>
            <m:r>
              <m:rPr/>
              <w:rPr>
                <w:rFonts w:ascii="Cambria Math" w:hAnsi="Cambria Math" w:eastAsia="微软雅黑"/>
                <w:szCs w:val="20"/>
              </w:rPr>
              <m:t>2</m:t>
            </m:r>
            <m:ctrlPr>
              <w:rPr>
                <w:rFonts w:ascii="Cambria Math" w:hAnsi="Cambria Math" w:eastAsia="微软雅黑"/>
                <w:i/>
                <w:szCs w:val="20"/>
              </w:rPr>
            </m:ctrlPr>
          </m:sub>
        </m:sSub>
        <m:r>
          <m:rPr/>
          <w:rPr>
            <w:rFonts w:ascii="Cambria Math" w:hAnsi="Cambria Math" w:eastAsia="微软雅黑"/>
            <w:szCs w:val="20"/>
          </w:rPr>
          <m:t>)</m:t>
        </m:r>
      </m:oMath>
      <w:r>
        <w:rPr>
          <w:rFonts w:hint="eastAsia" w:hAnsi="Cambria Math" w:eastAsia="微软雅黑"/>
          <w:szCs w:val="20"/>
        </w:rPr>
        <w:t xml:space="preserve"> are the frequencies corresponding to subcarriers </w:t>
      </w:r>
      <m:oMath>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1</m:t>
            </m:r>
            <m:ctrlPr>
              <w:rPr>
                <w:rFonts w:ascii="Cambria Math" w:hAnsi="Cambria Math" w:eastAsia="微软雅黑"/>
                <w:i/>
                <w:iCs/>
                <w:szCs w:val="20"/>
              </w:rPr>
            </m:ctrlPr>
          </m:sub>
        </m:sSub>
      </m:oMath>
      <w:r>
        <w:rPr>
          <w:rFonts w:hint="eastAsia" w:hAnsi="Cambria Math" w:eastAsia="微软雅黑"/>
          <w:iCs/>
          <w:szCs w:val="20"/>
        </w:rPr>
        <w:t xml:space="preserve"> and </w:t>
      </w:r>
      <m:oMath>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2</m:t>
            </m:r>
            <m:ctrlPr>
              <w:rPr>
                <w:rFonts w:ascii="Cambria Math" w:hAnsi="Cambria Math" w:eastAsia="微软雅黑"/>
                <w:i/>
                <w:iCs/>
                <w:szCs w:val="20"/>
              </w:rPr>
            </m:ctrlPr>
          </m:sub>
        </m:sSub>
      </m:oMath>
      <w:r>
        <w:rPr>
          <w:rFonts w:hint="eastAsia" w:hAnsi="Cambria Math" w:eastAsia="微软雅黑"/>
          <w:iCs/>
          <w:szCs w:val="20"/>
        </w:rPr>
        <w:t xml:space="preserve">, respectively. </w:t>
      </w:r>
      <w:r>
        <w:rPr>
          <w:rFonts w:hint="eastAsia" w:eastAsia="微软雅黑"/>
          <w:szCs w:val="20"/>
        </w:rPr>
        <w:t>Therefore, for each TRP, the delay can be measured through 1-port CSI-RS. Figure 8(a) gives an example where 1-port CSI-RS resource with density D = 3 is configured for each TRP, and the delay can be derived from the phase shift across two consecutive REs carrying the CSI-RS.</w:t>
      </w:r>
    </w:p>
    <w:p>
      <w:pPr>
        <w:snapToGrid w:val="0"/>
        <w:spacing w:before="120" w:beforeLines="50" w:after="120" w:afterLines="50" w:line="300" w:lineRule="auto"/>
        <w:rPr>
          <w:rFonts w:eastAsia="微软雅黑"/>
          <w:szCs w:val="20"/>
        </w:rPr>
      </w:pPr>
      <w:r>
        <w:rPr>
          <w:rFonts w:hint="eastAsia" w:eastAsia="微软雅黑"/>
          <w:szCs w:val="20"/>
        </w:rPr>
        <w:t xml:space="preserve">In </w:t>
      </w:r>
      <w:r>
        <w:rPr>
          <w:rFonts w:eastAsia="微软雅黑"/>
          <w:szCs w:val="20"/>
        </w:rPr>
        <w:t>S</w:t>
      </w:r>
      <w:r>
        <w:rPr>
          <w:rFonts w:hint="eastAsia" w:eastAsia="微软雅黑"/>
          <w:szCs w:val="20"/>
        </w:rPr>
        <w:t xml:space="preserve">cenario #2, the long delay would cause significant inter-symbol interference (ISI). Consequently, the delay cannot be derived from the frequency-domain phase shift. For each TRP, 1-port CSI-RS resource needs to be configured, and no data should be transmitted over the RS symbol. Then the delay can be measured by transforming the RS symbol into time domain and detecting the time location of the time-domain sequence with repeated waveform. The RS configuration and delay measurement in scenario #2 are illustrated in </w:t>
      </w:r>
      <w:r>
        <w:rPr>
          <w:rFonts w:eastAsia="微软雅黑"/>
          <w:szCs w:val="20"/>
        </w:rPr>
        <w:t>F</w:t>
      </w:r>
      <w:r>
        <w:rPr>
          <w:rFonts w:hint="eastAsia" w:eastAsia="微软雅黑"/>
          <w:szCs w:val="20"/>
        </w:rPr>
        <w:t>igure 8(b).</w:t>
      </w:r>
    </w:p>
    <w:p>
      <w:pPr>
        <w:snapToGrid w:val="0"/>
        <w:spacing w:before="120" w:beforeLines="50" w:after="120" w:afterLines="50" w:line="300" w:lineRule="auto"/>
        <w:jc w:val="center"/>
        <w:rPr>
          <w:b/>
          <w:bCs/>
        </w:rPr>
      </w:pPr>
      <w:r>
        <w:drawing>
          <wp:inline distT="0" distB="0" distL="114300" distR="114300">
            <wp:extent cx="1615440" cy="2339975"/>
            <wp:effectExtent l="0" t="0" r="3810" b="3175"/>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5"/>
                    <a:stretch>
                      <a:fillRect/>
                    </a:stretch>
                  </pic:blipFill>
                  <pic:spPr>
                    <a:xfrm>
                      <a:off x="0" y="0"/>
                      <a:ext cx="1615440" cy="2339975"/>
                    </a:xfrm>
                    <a:prstGeom prst="rect">
                      <a:avLst/>
                    </a:prstGeom>
                  </pic:spPr>
                </pic:pic>
              </a:graphicData>
            </a:graphic>
          </wp:inline>
        </w:drawing>
      </w:r>
      <w:r>
        <w:rPr>
          <w:rFonts w:hint="eastAsia"/>
        </w:rPr>
        <w:t xml:space="preserve">    </w:t>
      </w:r>
      <w:r>
        <w:drawing>
          <wp:inline distT="0" distB="0" distL="114300" distR="114300">
            <wp:extent cx="3232785" cy="2339975"/>
            <wp:effectExtent l="0" t="0" r="13335" b="6985"/>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16"/>
                    <a:stretch>
                      <a:fillRect/>
                    </a:stretch>
                  </pic:blipFill>
                  <pic:spPr>
                    <a:xfrm>
                      <a:off x="0" y="0"/>
                      <a:ext cx="3232785" cy="2339975"/>
                    </a:xfrm>
                    <a:prstGeom prst="rect">
                      <a:avLst/>
                    </a:prstGeom>
                  </pic:spPr>
                </pic:pic>
              </a:graphicData>
            </a:graphic>
          </wp:inline>
        </w:drawing>
      </w:r>
    </w:p>
    <w:p>
      <w:pPr>
        <w:numPr>
          <w:ilvl w:val="0"/>
          <w:numId w:val="14"/>
        </w:numPr>
        <w:snapToGrid w:val="0"/>
        <w:spacing w:before="120" w:beforeLines="50" w:after="120" w:afterLines="50" w:line="300" w:lineRule="auto"/>
        <w:ind w:left="1680"/>
      </w:pPr>
      <w:r>
        <w:rPr>
          <w:rFonts w:hint="eastAsia"/>
        </w:rPr>
        <w:t xml:space="preserve">                                        (b)</w:t>
      </w:r>
    </w:p>
    <w:p>
      <w:pPr>
        <w:snapToGrid w:val="0"/>
        <w:spacing w:before="120" w:beforeLines="50" w:after="120" w:afterLines="50" w:line="300" w:lineRule="auto"/>
        <w:jc w:val="center"/>
      </w:pPr>
      <w:bookmarkStart w:id="5" w:name="OLE_LINK25"/>
      <w:r>
        <w:rPr>
          <w:rFonts w:hint="eastAsia"/>
          <w:b/>
          <w:bCs/>
        </w:rPr>
        <w:t>Figure 8</w:t>
      </w:r>
      <w:r>
        <w:rPr>
          <w:rFonts w:hint="eastAsia"/>
        </w:rPr>
        <w:t xml:space="preserve"> RS configuration for (a) </w:t>
      </w:r>
      <w:r>
        <w:rPr>
          <w:rFonts w:eastAsia="微软雅黑"/>
          <w:szCs w:val="20"/>
        </w:rPr>
        <w:t>S</w:t>
      </w:r>
      <w:r>
        <w:rPr>
          <w:rFonts w:hint="eastAsia" w:eastAsia="微软雅黑"/>
          <w:szCs w:val="20"/>
        </w:rPr>
        <w:t xml:space="preserve">cenario </w:t>
      </w:r>
      <w:r>
        <w:rPr>
          <w:rFonts w:hint="eastAsia"/>
        </w:rPr>
        <w:t xml:space="preserve">#1: the delay is shorter than a CP, and (b) </w:t>
      </w:r>
      <w:r>
        <w:rPr>
          <w:rFonts w:eastAsia="微软雅黑"/>
          <w:szCs w:val="20"/>
        </w:rPr>
        <w:t>S</w:t>
      </w:r>
      <w:r>
        <w:rPr>
          <w:rFonts w:hint="eastAsia" w:eastAsia="微软雅黑"/>
          <w:szCs w:val="20"/>
        </w:rPr>
        <w:t>cenario</w:t>
      </w:r>
      <w:r>
        <w:rPr>
          <w:rFonts w:hint="eastAsia"/>
        </w:rPr>
        <w:t xml:space="preserve"> #2: the delay is </w:t>
      </w:r>
      <w:r>
        <w:t xml:space="preserve">closed to or </w:t>
      </w:r>
      <w:r>
        <w:rPr>
          <w:rFonts w:hint="eastAsia"/>
        </w:rPr>
        <w:t>longer than a CP</w:t>
      </w:r>
      <w:bookmarkEnd w:id="5"/>
    </w:p>
    <w:p>
      <w:pPr>
        <w:snapToGrid w:val="0"/>
        <w:spacing w:before="120" w:beforeLines="50" w:after="120" w:afterLines="50" w:line="300" w:lineRule="auto"/>
        <w:rPr>
          <w:rFonts w:eastAsia="微软雅黑"/>
          <w:i/>
          <w:iCs/>
          <w:szCs w:val="20"/>
        </w:rPr>
      </w:pPr>
      <w:r>
        <w:rPr>
          <w:rFonts w:hint="eastAsia" w:eastAsia="微软雅黑"/>
          <w:b/>
          <w:bCs/>
          <w:i/>
          <w:iCs/>
          <w:szCs w:val="20"/>
        </w:rPr>
        <w:t>Proposal 1</w:t>
      </w:r>
      <w:r>
        <w:rPr>
          <w:rFonts w:eastAsia="微软雅黑"/>
          <w:b/>
          <w:bCs/>
          <w:i/>
          <w:iCs/>
          <w:szCs w:val="20"/>
        </w:rPr>
        <w:t>1</w:t>
      </w:r>
      <w:r>
        <w:rPr>
          <w:rFonts w:hint="eastAsia" w:eastAsia="微软雅黑"/>
          <w:b/>
          <w:bCs/>
          <w:i/>
          <w:iCs/>
          <w:szCs w:val="20"/>
        </w:rPr>
        <w:t>:</w:t>
      </w:r>
      <w:r>
        <w:rPr>
          <w:rFonts w:hint="eastAsia" w:eastAsia="微软雅黑"/>
          <w:i/>
          <w:iCs/>
          <w:szCs w:val="20"/>
        </w:rPr>
        <w:t xml:space="preserve"> Regarding inter-TRP time/delay misalignment measurement, the following RS configuration can be considered:</w:t>
      </w:r>
    </w:p>
    <w:p>
      <w:pPr>
        <w:numPr>
          <w:ilvl w:val="0"/>
          <w:numId w:val="13"/>
        </w:numPr>
        <w:snapToGrid w:val="0"/>
        <w:spacing w:before="120" w:beforeLines="50" w:after="120" w:afterLines="50" w:line="300" w:lineRule="auto"/>
        <w:rPr>
          <w:rFonts w:eastAsia="微软雅黑"/>
          <w:i/>
          <w:iCs/>
          <w:szCs w:val="20"/>
        </w:rPr>
      </w:pPr>
      <w:r>
        <w:rPr>
          <w:rFonts w:hint="eastAsia" w:eastAsia="微软雅黑"/>
          <w:i/>
          <w:iCs/>
          <w:szCs w:val="20"/>
        </w:rPr>
        <w:t>In the scenario where the delay is shorted than a CP, 1-port CSI-RS resource is configured for each TRP;</w:t>
      </w:r>
    </w:p>
    <w:p>
      <w:pPr>
        <w:numPr>
          <w:ilvl w:val="0"/>
          <w:numId w:val="13"/>
        </w:numPr>
        <w:snapToGrid w:val="0"/>
        <w:spacing w:before="120" w:beforeLines="50" w:after="120" w:afterLines="50" w:line="300" w:lineRule="auto"/>
        <w:rPr>
          <w:rFonts w:eastAsia="微软雅黑"/>
          <w:szCs w:val="20"/>
        </w:rPr>
      </w:pPr>
      <w:r>
        <w:rPr>
          <w:rFonts w:hint="eastAsia" w:eastAsia="微软雅黑"/>
          <w:i/>
          <w:iCs/>
          <w:szCs w:val="20"/>
        </w:rPr>
        <w:t>In the scenario where the delay is longer than a CP, 1-port CSI-RS resource pair is configured for each TRP, and no data is transmitted over the RS symbol.</w:t>
      </w:r>
    </w:p>
    <w:p>
      <w:pPr>
        <w:snapToGrid w:val="0"/>
        <w:spacing w:before="120" w:beforeLines="50" w:after="120" w:afterLines="50" w:line="300" w:lineRule="auto"/>
        <w:rPr>
          <w:rFonts w:hAnsi="Cambria Math"/>
          <w:szCs w:val="20"/>
        </w:rPr>
      </w:pPr>
      <w:r>
        <w:rPr>
          <w:rFonts w:hint="eastAsia" w:eastAsia="微软雅黑"/>
          <w:szCs w:val="20"/>
        </w:rPr>
        <w:t xml:space="preserve">Regarding the reporting format of inter-TRP time misalignment, differential reporting of the delays corresponding to multiple TRPs should be supported to reserve the reporting overhead. </w:t>
      </w:r>
      <w:bookmarkStart w:id="6" w:name="OLE_LINK2"/>
      <w:r>
        <w:rPr>
          <w:rFonts w:hint="eastAsia" w:eastAsia="微软雅黑"/>
          <w:szCs w:val="20"/>
        </w:rPr>
        <w:t xml:space="preserve">Assuming </w:t>
      </w:r>
      <m:oMath>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i</m:t>
                </m:r>
                <m:ctrlPr>
                  <w:rPr>
                    <w:rFonts w:ascii="Cambria Math" w:hAnsi="Cambria Math"/>
                    <w:i/>
                    <w:szCs w:val="20"/>
                  </w:rPr>
                </m:ctrlPr>
              </m:e>
              <m:sub>
                <m:r>
                  <m:rPr>
                    <m:sty m:val="p"/>
                  </m:rPr>
                  <w:rPr>
                    <w:rFonts w:ascii="Cambria Math" w:hAnsi="Cambria Math"/>
                    <w:szCs w:val="20"/>
                  </w:rPr>
                  <m:t>ref</m:t>
                </m:r>
                <m:ctrlPr>
                  <w:rPr>
                    <w:rFonts w:ascii="Cambria Math" w:hAnsi="Cambria Math"/>
                    <w:i/>
                    <w:szCs w:val="20"/>
                  </w:rPr>
                </m:ctrlPr>
              </m:sub>
            </m:sSub>
            <m:ctrlPr>
              <w:rPr>
                <w:rFonts w:ascii="Cambria Math" w:hAnsi="Cambria Math"/>
                <w:i/>
                <w:szCs w:val="20"/>
              </w:rPr>
            </m:ctrlPr>
          </m:sub>
        </m:sSub>
        <m:r>
          <m:rPr/>
          <w:rPr>
            <w:rFonts w:ascii="Cambria Math" w:hAnsi="Cambria Math"/>
            <w:szCs w:val="20"/>
          </w:rPr>
          <m:t>(1≤</m:t>
        </m:r>
        <m:sSub>
          <m:sSubPr>
            <m:ctrlPr>
              <w:rPr>
                <w:rFonts w:ascii="Cambria Math" w:hAnsi="Cambria Math"/>
                <w:i/>
                <w:szCs w:val="20"/>
              </w:rPr>
            </m:ctrlPr>
          </m:sSubPr>
          <m:e>
            <m:r>
              <m:rPr/>
              <w:rPr>
                <w:rFonts w:ascii="Cambria Math" w:hAnsi="Cambria Math"/>
                <w:szCs w:val="20"/>
              </w:rPr>
              <m:t>i</m:t>
            </m:r>
            <m:ctrlPr>
              <w:rPr>
                <w:rFonts w:ascii="Cambria Math" w:hAnsi="Cambria Math"/>
                <w:i/>
                <w:szCs w:val="20"/>
              </w:rPr>
            </m:ctrlPr>
          </m:e>
          <m:sub>
            <m:r>
              <m:rPr>
                <m:sty m:val="p"/>
              </m:rPr>
              <w:rPr>
                <w:rFonts w:ascii="Cambria Math" w:hAnsi="Cambria Math"/>
                <w:szCs w:val="20"/>
              </w:rPr>
              <m:t>ref</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m:sty m:val="p"/>
              </m:rPr>
              <w:rPr>
                <w:rFonts w:ascii="Cambria Math" w:hAnsi="Cambria Math"/>
                <w:szCs w:val="20"/>
              </w:rPr>
              <m:t>TRP</m:t>
            </m:r>
            <m:ctrlPr>
              <w:rPr>
                <w:rFonts w:ascii="Cambria Math" w:hAnsi="Cambria Math"/>
                <w:i/>
                <w:szCs w:val="20"/>
              </w:rPr>
            </m:ctrlPr>
          </m:sub>
        </m:sSub>
        <m:r>
          <m:rPr/>
          <w:rPr>
            <w:rFonts w:ascii="Cambria Math" w:hAnsi="Cambria Math"/>
            <w:szCs w:val="20"/>
          </w:rPr>
          <m:t>)</m:t>
        </m:r>
      </m:oMath>
      <w:r>
        <w:rPr>
          <w:rFonts w:hint="eastAsia" w:hAnsi="Cambria Math"/>
          <w:szCs w:val="20"/>
        </w:rPr>
        <w:t xml:space="preserve"> is a reference delay selected from the measured delays </w:t>
      </w:r>
      <m:oMath>
        <m:d>
          <m:dPr>
            <m:begChr m:val="{"/>
            <m:endChr m:val="}"/>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r>
                  <m:rPr>
                    <m:sty m:val="p"/>
                  </m:rPr>
                  <w:rPr>
                    <w:rFonts w:ascii="Cambria Math" w:hAnsi="Cambria Math"/>
                    <w:szCs w:val="20"/>
                  </w:rPr>
                  <m:t>1</m:t>
                </m:r>
                <m:ctrlPr>
                  <w:rPr>
                    <w:rFonts w:ascii="Cambria Math" w:hAnsi="Cambria Math"/>
                    <w:i/>
                    <w:szCs w:val="20"/>
                  </w:rPr>
                </m:ctrlPr>
              </m:sub>
            </m:sSub>
            <m:r>
              <m:rPr/>
              <w:rPr>
                <w:rFonts w:ascii="Cambria Math" w:hAnsi="Cambria Math"/>
                <w:szCs w:val="20"/>
              </w:rPr>
              <m:t xml:space="preserve">, </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r>
                  <m:rPr>
                    <m:sty m:val="p"/>
                  </m:rPr>
                  <w:rPr>
                    <w:rFonts w:ascii="Cambria Math" w:hAnsi="Cambria Math"/>
                    <w:szCs w:val="20"/>
                  </w:rPr>
                  <m:t>2</m:t>
                </m:r>
                <m:ctrlPr>
                  <w:rPr>
                    <w:rFonts w:ascii="Cambria Math" w:hAnsi="Cambria Math"/>
                    <w:i/>
                    <w:szCs w:val="20"/>
                  </w:rPr>
                </m:ctrlPr>
              </m:sub>
            </m:sSub>
            <m:r>
              <m:rPr/>
              <w:rPr>
                <w:rFonts w:ascii="Cambria Math" w:hAnsi="Cambria Math"/>
                <w:szCs w:val="20"/>
              </w:rPr>
              <m:t xml:space="preserve">, ..., </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m:sty m:val="p"/>
                      </m:rPr>
                      <w:rPr>
                        <w:rFonts w:ascii="Cambria Math" w:hAnsi="Cambria Math"/>
                        <w:szCs w:val="20"/>
                      </w:rPr>
                      <m:t>TRP</m:t>
                    </m:r>
                    <m:ctrlPr>
                      <w:rPr>
                        <w:rFonts w:ascii="Cambria Math" w:hAnsi="Cambria Math"/>
                        <w:i/>
                        <w:szCs w:val="20"/>
                      </w:rPr>
                    </m:ctrlPr>
                  </m:sub>
                </m:sSub>
                <m:ctrlPr>
                  <w:rPr>
                    <w:rFonts w:ascii="Cambria Math" w:hAnsi="Cambria Math"/>
                    <w:i/>
                    <w:szCs w:val="20"/>
                  </w:rPr>
                </m:ctrlPr>
              </m:sub>
            </m:sSub>
            <m:ctrlPr>
              <w:rPr>
                <w:rFonts w:ascii="Cambria Math" w:hAnsi="Cambria Math"/>
                <w:i/>
                <w:szCs w:val="20"/>
              </w:rPr>
            </m:ctrlPr>
          </m:e>
        </m:d>
      </m:oMath>
      <w:r>
        <w:rPr>
          <w:rFonts w:hint="eastAsia" w:hAnsi="Cambria Math"/>
          <w:szCs w:val="20"/>
        </w:rPr>
        <w:t xml:space="preserve">, where </w:t>
      </w:r>
      <m:oMath>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m:sty m:val="p"/>
              </m:rPr>
              <w:rPr>
                <w:rFonts w:ascii="Cambria Math" w:hAnsi="Cambria Math"/>
                <w:szCs w:val="20"/>
              </w:rPr>
              <m:t>TRP</m:t>
            </m:r>
            <m:ctrlPr>
              <w:rPr>
                <w:rFonts w:ascii="Cambria Math" w:hAnsi="Cambria Math"/>
                <w:i/>
                <w:szCs w:val="20"/>
              </w:rPr>
            </m:ctrlPr>
          </m:sub>
        </m:sSub>
      </m:oMath>
      <w:r>
        <w:rPr>
          <w:rFonts w:hint="eastAsia" w:hAnsi="Cambria Math"/>
          <w:szCs w:val="20"/>
        </w:rPr>
        <w:t xml:space="preserve"> is the number of TRPs, the differential delays can be expressed as</w:t>
      </w:r>
    </w:p>
    <w:p>
      <w:pPr>
        <w:snapToGrid w:val="0"/>
        <w:spacing w:before="120" w:beforeLines="50" w:after="120" w:afterLines="50" w:line="300" w:lineRule="auto"/>
        <w:rPr>
          <w:rFonts w:hAnsi="Cambria Math"/>
          <w:szCs w:val="20"/>
        </w:rPr>
      </w:pPr>
      <m:oMathPara>
        <m:oMath>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r>
                <m:rPr>
                  <m:sty m:val="p"/>
                </m:rPr>
                <w:rPr>
                  <w:rFonts w:ascii="Cambria Math" w:hAnsi="Cambria Math"/>
                  <w:szCs w:val="20"/>
                </w:rPr>
                <m:t xml:space="preserve">diff, </m:t>
              </m:r>
              <m:r>
                <m:rPr/>
                <w:rPr>
                  <w:rFonts w:ascii="Cambria Math" w:hAnsi="Cambria Math"/>
                  <w:szCs w:val="20"/>
                </w:rPr>
                <m:t>i</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r>
                <m:rPr/>
                <w:rPr>
                  <w:rFonts w:ascii="Cambria Math" w:hAnsi="Cambria Math"/>
                  <w:szCs w:val="20"/>
                </w:rPr>
                <m:t>i</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i</m:t>
                  </m:r>
                  <m:ctrlPr>
                    <w:rPr>
                      <w:rFonts w:ascii="Cambria Math" w:hAnsi="Cambria Math"/>
                      <w:i/>
                      <w:szCs w:val="20"/>
                    </w:rPr>
                  </m:ctrlPr>
                </m:e>
                <m:sub>
                  <m:r>
                    <m:rPr>
                      <m:sty m:val="p"/>
                    </m:rPr>
                    <w:rPr>
                      <w:rFonts w:ascii="Cambria Math" w:hAnsi="Cambria Math"/>
                      <w:szCs w:val="20"/>
                    </w:rPr>
                    <m:t>ref</m:t>
                  </m:r>
                  <m:ctrlPr>
                    <w:rPr>
                      <w:rFonts w:ascii="Cambria Math" w:hAnsi="Cambria Math"/>
                      <w:i/>
                      <w:szCs w:val="20"/>
                    </w:rPr>
                  </m:ctrlPr>
                </m:sub>
              </m:sSub>
              <m:ctrlPr>
                <w:rPr>
                  <w:rFonts w:ascii="Cambria Math" w:hAnsi="Cambria Math"/>
                  <w:i/>
                  <w:szCs w:val="20"/>
                </w:rPr>
              </m:ctrlPr>
            </m:sub>
          </m:sSub>
          <m:r>
            <m:rPr/>
            <w:rPr>
              <w:rFonts w:ascii="Cambria Math" w:hAnsi="Cambria Math"/>
              <w:szCs w:val="20"/>
            </w:rPr>
            <m:t xml:space="preserve"> (1≤i≤</m:t>
          </m:r>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m:sty m:val="p"/>
                </m:rPr>
                <w:rPr>
                  <w:rFonts w:ascii="Cambria Math" w:hAnsi="Cambria Math"/>
                  <w:szCs w:val="20"/>
                </w:rPr>
                <m:t>TRP</m:t>
              </m:r>
              <m:ctrlPr>
                <w:rPr>
                  <w:rFonts w:ascii="Cambria Math" w:hAnsi="Cambria Math"/>
                  <w:i/>
                  <w:szCs w:val="20"/>
                </w:rPr>
              </m:ctrlPr>
            </m:sub>
          </m:sSub>
          <m:r>
            <m:rPr/>
            <w:rPr>
              <w:rFonts w:ascii="Cambria Math" w:hAnsi="Cambria Math"/>
              <w:szCs w:val="20"/>
            </w:rPr>
            <m:t xml:space="preserve">, i≠ </m:t>
          </m:r>
          <m:sSub>
            <m:sSubPr>
              <m:ctrlPr>
                <w:rPr>
                  <w:rFonts w:ascii="Cambria Math" w:hAnsi="Cambria Math"/>
                  <w:i/>
                  <w:szCs w:val="20"/>
                </w:rPr>
              </m:ctrlPr>
            </m:sSubPr>
            <m:e>
              <m:r>
                <m:rPr/>
                <w:rPr>
                  <w:rFonts w:ascii="Cambria Math" w:hAnsi="Cambria Math"/>
                  <w:szCs w:val="20"/>
                </w:rPr>
                <m:t>i</m:t>
              </m:r>
              <m:ctrlPr>
                <w:rPr>
                  <w:rFonts w:ascii="Cambria Math" w:hAnsi="Cambria Math"/>
                  <w:i/>
                  <w:szCs w:val="20"/>
                </w:rPr>
              </m:ctrlPr>
            </m:e>
            <m:sub>
              <m:r>
                <m:rPr>
                  <m:sty m:val="p"/>
                </m:rPr>
                <w:rPr>
                  <w:rFonts w:ascii="Cambria Math" w:hAnsi="Cambria Math"/>
                  <w:szCs w:val="20"/>
                </w:rPr>
                <m:t>ref</m:t>
              </m:r>
              <m:ctrlPr>
                <w:rPr>
                  <w:rFonts w:ascii="Cambria Math" w:hAnsi="Cambria Math"/>
                  <w:i/>
                  <w:szCs w:val="20"/>
                </w:rPr>
              </m:ctrlPr>
            </m:sub>
          </m:sSub>
          <m:r>
            <m:rPr/>
            <w:rPr>
              <w:rFonts w:ascii="Cambria Math" w:hAnsi="Cambria Math"/>
              <w:szCs w:val="20"/>
            </w:rPr>
            <m:t>)</m:t>
          </m:r>
        </m:oMath>
      </m:oMathPara>
      <w:bookmarkEnd w:id="6"/>
    </w:p>
    <w:p>
      <w:pPr>
        <w:snapToGrid w:val="0"/>
        <w:spacing w:before="120" w:beforeLines="50" w:after="120" w:afterLines="50" w:line="300" w:lineRule="auto"/>
        <w:rPr>
          <w:rFonts w:hAnsi="Cambria Math"/>
          <w:szCs w:val="20"/>
        </w:rPr>
      </w:pPr>
      <w:r>
        <w:rPr>
          <w:rFonts w:hint="eastAsia" w:hAnsi="Cambria Math"/>
          <w:szCs w:val="20"/>
        </w:rPr>
        <w:t>Clearly, only the differential delays need to be reported, thereby minimizing the reporting overhead. As the next-level discussion, we can further study the reference selection (e.g., the minimum delay is always selected as the reference) and the quantization of the reported differential delays.</w:t>
      </w:r>
    </w:p>
    <w:p>
      <w:pPr>
        <w:snapToGrid w:val="0"/>
        <w:spacing w:before="120" w:beforeLines="50" w:after="120" w:afterLines="50" w:line="300" w:lineRule="auto"/>
        <w:rPr>
          <w:rFonts w:hAnsi="Cambria Math"/>
          <w:i/>
          <w:iCs/>
          <w:szCs w:val="20"/>
        </w:rPr>
      </w:pPr>
      <w:r>
        <w:rPr>
          <w:rFonts w:hint="eastAsia" w:hAnsi="Cambria Math"/>
          <w:b/>
          <w:bCs/>
          <w:i/>
          <w:iCs/>
          <w:szCs w:val="20"/>
        </w:rPr>
        <w:t>Proposal 1</w:t>
      </w:r>
      <w:r>
        <w:rPr>
          <w:rFonts w:hAnsi="Cambria Math"/>
          <w:b/>
          <w:bCs/>
          <w:i/>
          <w:iCs/>
          <w:szCs w:val="20"/>
        </w:rPr>
        <w:t>2</w:t>
      </w:r>
      <w:r>
        <w:rPr>
          <w:rFonts w:hint="eastAsia" w:hAnsi="Cambria Math"/>
          <w:b/>
          <w:bCs/>
          <w:i/>
          <w:iCs/>
          <w:szCs w:val="20"/>
        </w:rPr>
        <w:t>:</w:t>
      </w:r>
      <w:r>
        <w:rPr>
          <w:rFonts w:hint="eastAsia" w:hAnsi="Cambria Math"/>
          <w:i/>
          <w:iCs/>
          <w:szCs w:val="20"/>
        </w:rPr>
        <w:t xml:space="preserve"> Regarding the reporting format of inter-TRP time misalignment, support differential reporting of the delays corresponding to multiple TRPs.</w:t>
      </w:r>
    </w:p>
    <w:p>
      <w:pPr>
        <w:numPr>
          <w:ilvl w:val="0"/>
          <w:numId w:val="13"/>
        </w:numPr>
        <w:snapToGrid w:val="0"/>
        <w:spacing w:before="120" w:beforeLines="50" w:after="120" w:afterLines="50" w:line="300" w:lineRule="auto"/>
        <w:rPr>
          <w:rFonts w:hAnsi="Cambria Math"/>
          <w:i/>
          <w:iCs/>
          <w:szCs w:val="20"/>
        </w:rPr>
      </w:pPr>
      <w:r>
        <w:rPr>
          <w:rFonts w:hint="eastAsia" w:hAnsi="Cambria Math"/>
          <w:i/>
          <w:iCs/>
          <w:szCs w:val="20"/>
        </w:rPr>
        <w:t>FFS: the reference selection and differential delay quantization.</w:t>
      </w:r>
    </w:p>
    <w:p>
      <w:pPr>
        <w:numPr>
          <w:ilvl w:val="1"/>
          <w:numId w:val="8"/>
        </w:numPr>
        <w:snapToGrid w:val="0"/>
        <w:spacing w:after="120" w:afterLines="50" w:line="25" w:lineRule="atLeast"/>
        <w:outlineLvl w:val="1"/>
        <w:rPr>
          <w:b/>
          <w:sz w:val="24"/>
          <w:szCs w:val="20"/>
        </w:rPr>
      </w:pPr>
      <w:r>
        <w:rPr>
          <w:rFonts w:hint="eastAsia"/>
          <w:b/>
          <w:sz w:val="24"/>
          <w:szCs w:val="20"/>
        </w:rPr>
        <w:t>Inter-TRP frequency/phase offset measurement and reporting</w:t>
      </w:r>
    </w:p>
    <w:p>
      <w:pPr>
        <w:snapToGrid w:val="0"/>
        <w:spacing w:before="120" w:beforeLines="50" w:after="120" w:afterLines="50" w:line="300" w:lineRule="auto"/>
        <w:rPr>
          <w:rFonts w:eastAsia="微软雅黑"/>
          <w:szCs w:val="20"/>
        </w:rPr>
      </w:pPr>
      <w:bookmarkStart w:id="7" w:name="OLE_LINK13"/>
      <w:bookmarkStart w:id="8" w:name="OLE_LINK14"/>
      <w:bookmarkStart w:id="9" w:name="OLE_LINK11"/>
      <w:r>
        <w:rPr>
          <w:rFonts w:hint="eastAsia" w:eastAsia="微软雅黑"/>
          <w:szCs w:val="20"/>
        </w:rPr>
        <w:t xml:space="preserve">In CJT, the multiple TRPs </w:t>
      </w:r>
      <w:r>
        <w:rPr>
          <w:rFonts w:eastAsia="微软雅黑"/>
          <w:szCs w:val="20"/>
        </w:rPr>
        <w:t>should</w:t>
      </w:r>
      <w:r>
        <w:rPr>
          <w:rFonts w:hint="eastAsia" w:eastAsia="微软雅黑"/>
          <w:szCs w:val="20"/>
        </w:rPr>
        <w:t xml:space="preserve"> transmit the data with an ideally consistent carrier frequency. Nevertheless, owing to the oscillator instability, there inevitable arise frequency differences across different TRPs. Moreover, the distinct Doppler shifts from different TRPs to a UE can </w:t>
      </w:r>
      <w:bookmarkStart w:id="10" w:name="OLE_LINK12"/>
      <w:r>
        <w:rPr>
          <w:rFonts w:hint="eastAsia" w:eastAsia="微软雅黑"/>
          <w:szCs w:val="20"/>
        </w:rPr>
        <w:t xml:space="preserve">exacerbate </w:t>
      </w:r>
      <w:bookmarkEnd w:id="10"/>
      <w:r>
        <w:rPr>
          <w:rFonts w:hint="eastAsia" w:eastAsia="微软雅黑"/>
          <w:szCs w:val="20"/>
        </w:rPr>
        <w:t xml:space="preserve">these inter-TRP frequency differences. Such frequency misalignment could lead to a </w:t>
      </w:r>
      <w:r>
        <w:rPr>
          <w:rFonts w:eastAsia="微软雅黑"/>
          <w:szCs w:val="20"/>
        </w:rPr>
        <w:t>fast-varying</w:t>
      </w:r>
      <w:r>
        <w:rPr>
          <w:rFonts w:hint="eastAsia" w:eastAsia="微软雅黑"/>
          <w:szCs w:val="20"/>
        </w:rPr>
        <w:t xml:space="preserve"> channel. Then the CJT performance may seriously degrade due to the limited CSI updating periodicity and unavoidable CSI feedback delay.</w:t>
      </w:r>
      <w:bookmarkEnd w:id="7"/>
      <w:r>
        <w:rPr>
          <w:rFonts w:hint="eastAsia" w:eastAsia="微软雅黑"/>
          <w:szCs w:val="20"/>
        </w:rPr>
        <w:t xml:space="preserve"> Therefore, the inter-TRP frequency misalignment need to be measured and pre-compensated.</w:t>
      </w:r>
      <w:bookmarkEnd w:id="8"/>
    </w:p>
    <w:p>
      <w:pPr>
        <w:snapToGrid w:val="0"/>
        <w:spacing w:before="120" w:beforeLines="50" w:after="120" w:afterLines="50" w:line="300" w:lineRule="auto"/>
        <w:rPr>
          <w:rFonts w:hAnsi="Cambria Math" w:eastAsia="微软雅黑"/>
          <w:iCs/>
          <w:szCs w:val="20"/>
        </w:rPr>
      </w:pPr>
      <w:bookmarkStart w:id="11" w:name="OLE_LINK15"/>
      <w:r>
        <w:rPr>
          <w:rFonts w:hint="eastAsia" w:eastAsia="微软雅黑"/>
          <w:szCs w:val="20"/>
        </w:rPr>
        <w:t xml:space="preserve">When a UE receives data transmission from multiple TRPs, a common receiving frequency is applied across all TRPs. Hence, form UE perspective, the inter-TRP frequency differences manifest as inter-TRP carrier </w:t>
      </w:r>
      <w:r>
        <w:rPr>
          <w:rFonts w:eastAsia="微软雅黑"/>
          <w:szCs w:val="20"/>
        </w:rPr>
        <w:t>frequency offset</w:t>
      </w:r>
      <w:r>
        <w:rPr>
          <w:rFonts w:hint="eastAsia" w:eastAsia="微软雅黑"/>
          <w:szCs w:val="20"/>
        </w:rPr>
        <w:t xml:space="preserve"> (CFO) differences. </w:t>
      </w:r>
      <w:bookmarkStart w:id="12" w:name="OLE_LINK16"/>
      <w:r>
        <w:rPr>
          <w:rFonts w:hint="eastAsia" w:eastAsia="微软雅黑"/>
          <w:szCs w:val="20"/>
        </w:rPr>
        <w:t xml:space="preserve">It is well-known that, a CFO </w:t>
      </w:r>
      <w:r>
        <w:rPr>
          <w:rFonts w:eastAsia="微软雅黑"/>
          <w:szCs w:val="20"/>
        </w:rPr>
        <w:t>may</w:t>
      </w:r>
      <w:r>
        <w:rPr>
          <w:rFonts w:hint="eastAsia" w:eastAsia="微软雅黑"/>
          <w:szCs w:val="20"/>
        </w:rPr>
        <w:t xml:space="preserve"> cause a linearly varying phase in the time domain. For subcarrier </w:t>
      </w:r>
      <m:oMath>
        <m:r>
          <m:rPr/>
          <w:rPr>
            <w:rFonts w:ascii="Cambria Math" w:hAnsi="Cambria Math" w:eastAsia="微软雅黑"/>
            <w:szCs w:val="20"/>
          </w:rPr>
          <m:t>n</m:t>
        </m:r>
      </m:oMath>
      <w:r>
        <w:rPr>
          <w:rFonts w:hint="eastAsia" w:hAnsi="Cambria Math" w:eastAsia="微软雅黑"/>
          <w:iCs/>
          <w:szCs w:val="20"/>
        </w:rPr>
        <w:t xml:space="preserve">, assuming </w:t>
      </w:r>
      <m:oMath>
        <w:bookmarkStart w:id="13" w:name="OLE_LINK19"/>
        <m:r>
          <m:rPr/>
          <w:rPr>
            <w:rFonts w:ascii="Cambria Math" w:hAnsi="Cambria Math" w:eastAsia="微软雅黑"/>
            <w:szCs w:val="20"/>
          </w:rPr>
          <m:t>ℎ(</m:t>
        </m:r>
        <w:bookmarkStart w:id="14" w:name="OLE_LINK18"/>
        <m:r>
          <m:rPr/>
          <w:rPr>
            <w:rFonts w:ascii="Cambria Math" w:hAnsi="Cambria Math" w:eastAsia="微软雅黑"/>
            <w:szCs w:val="20"/>
          </w:rPr>
          <m:t>n,</m:t>
        </m:r>
        <m:sSub>
          <m:sSubPr>
            <m:ctrlPr>
              <w:rPr>
                <w:rFonts w:ascii="Cambria Math" w:hAnsi="Cambria Math" w:eastAsia="微软雅黑"/>
                <w:i/>
                <w:iCs/>
                <w:szCs w:val="20"/>
              </w:rPr>
            </m:ctrlPr>
          </m:sSubPr>
          <w:bookmarkStart w:id="15" w:name="OLE_LINK20"/>
          <m:e>
            <m:r>
              <m:rPr/>
              <w:rPr>
                <w:rFonts w:ascii="Cambria Math" w:hAnsi="Cambria Math" w:eastAsia="微软雅黑"/>
                <w:szCs w:val="20"/>
              </w:rPr>
              <m:t>t</m:t>
            </m:r>
            <m:ctrlPr>
              <w:rPr>
                <w:rFonts w:ascii="Cambria Math" w:hAnsi="Cambria Math" w:eastAsia="微软雅黑"/>
                <w:i/>
                <w:iCs/>
                <w:szCs w:val="20"/>
              </w:rPr>
            </m:ctrlPr>
          </m:e>
          <m:sub>
            <m:r>
              <m:rPr/>
              <w:rPr>
                <w:rFonts w:ascii="Cambria Math" w:hAnsi="Cambria Math" w:eastAsia="微软雅黑"/>
                <w:szCs w:val="20"/>
              </w:rPr>
              <m:t>1</m:t>
            </m:r>
            <w:bookmarkEnd w:id="15"/>
            <m:ctrlPr>
              <w:rPr>
                <w:rFonts w:ascii="Cambria Math" w:hAnsi="Cambria Math" w:eastAsia="微软雅黑"/>
                <w:i/>
                <w:iCs/>
                <w:szCs w:val="20"/>
              </w:rPr>
            </m:ctrlPr>
            <w:bookmarkEnd w:id="14"/>
          </m:sub>
        </m:sSub>
        <m:r>
          <m:rPr/>
          <w:rPr>
            <w:rFonts w:ascii="Cambria Math" w:hAnsi="Cambria Math" w:eastAsia="微软雅黑"/>
            <w:szCs w:val="20"/>
          </w:rPr>
          <m:t>)</m:t>
        </m:r>
        <w:bookmarkEnd w:id="13"/>
      </m:oMath>
      <w:r>
        <w:rPr>
          <w:rFonts w:hint="eastAsia" w:hAnsi="Cambria Math" w:eastAsia="微软雅黑"/>
          <w:szCs w:val="20"/>
        </w:rPr>
        <w:t xml:space="preserve"> and </w:t>
      </w:r>
      <m:oMath>
        <m:r>
          <m:rPr/>
          <w:rPr>
            <w:rFonts w:ascii="Cambria Math" w:hAnsi="Cambria Math" w:eastAsia="微软雅黑"/>
            <w:szCs w:val="20"/>
          </w:rPr>
          <m:t>ℎ(n,</m:t>
        </m:r>
        <m:sSub>
          <m:sSubPr>
            <m:ctrlPr>
              <w:rPr>
                <w:rFonts w:ascii="Cambria Math" w:hAnsi="Cambria Math" w:eastAsia="微软雅黑"/>
                <w:i/>
                <w:iCs/>
                <w:szCs w:val="20"/>
              </w:rPr>
            </m:ctrlPr>
          </m:sSubPr>
          <m:e>
            <m:r>
              <m:rPr/>
              <w:rPr>
                <w:rFonts w:ascii="Cambria Math" w:hAnsi="Cambria Math" w:eastAsia="微软雅黑"/>
                <w:szCs w:val="20"/>
              </w:rPr>
              <m:t>t</m:t>
            </m:r>
            <m:ctrlPr>
              <w:rPr>
                <w:rFonts w:ascii="Cambria Math" w:hAnsi="Cambria Math" w:eastAsia="微软雅黑"/>
                <w:i/>
                <w:iCs/>
                <w:szCs w:val="20"/>
              </w:rPr>
            </m:ctrlPr>
          </m:e>
          <m:sub>
            <m:r>
              <m:rPr/>
              <w:rPr>
                <w:rFonts w:ascii="Cambria Math" w:hAnsi="Cambria Math" w:eastAsia="微软雅黑"/>
                <w:szCs w:val="20"/>
              </w:rPr>
              <m:t>2</m:t>
            </m:r>
            <m:ctrlPr>
              <w:rPr>
                <w:rFonts w:ascii="Cambria Math" w:hAnsi="Cambria Math" w:eastAsia="微软雅黑"/>
                <w:i/>
                <w:iCs/>
                <w:szCs w:val="20"/>
              </w:rPr>
            </m:ctrlPr>
          </m:sub>
        </m:sSub>
        <m:r>
          <m:rPr/>
          <w:rPr>
            <w:rFonts w:ascii="Cambria Math" w:hAnsi="Cambria Math" w:eastAsia="微软雅黑"/>
            <w:szCs w:val="20"/>
          </w:rPr>
          <m:t>)</m:t>
        </m:r>
      </m:oMath>
      <w:r>
        <w:rPr>
          <w:rFonts w:hint="eastAsia" w:hAnsi="Cambria Math" w:eastAsia="微软雅黑"/>
          <w:szCs w:val="20"/>
        </w:rPr>
        <w:t xml:space="preserve"> are the channel responses at time </w:t>
      </w:r>
      <w:bookmarkStart w:id="16" w:name="OLE_LINK21"/>
      <m:oMath>
        <m:sSub>
          <m:sSubPr>
            <m:ctrlPr>
              <w:rPr>
                <w:rFonts w:ascii="Cambria Math" w:hAnsi="Cambria Math" w:eastAsia="微软雅黑"/>
                <w:i/>
                <w:iCs/>
                <w:szCs w:val="20"/>
              </w:rPr>
            </m:ctrlPr>
          </m:sSubPr>
          <m:e>
            <m:r>
              <m:rPr/>
              <w:rPr>
                <w:rFonts w:ascii="Cambria Math" w:hAnsi="Cambria Math" w:eastAsia="微软雅黑"/>
                <w:szCs w:val="20"/>
              </w:rPr>
              <m:t>t</m:t>
            </m:r>
            <m:ctrlPr>
              <w:rPr>
                <w:rFonts w:ascii="Cambria Math" w:hAnsi="Cambria Math" w:eastAsia="微软雅黑"/>
                <w:i/>
                <w:iCs/>
                <w:szCs w:val="20"/>
              </w:rPr>
            </m:ctrlPr>
          </m:e>
          <m:sub>
            <m:r>
              <m:rPr/>
              <w:rPr>
                <w:rFonts w:ascii="Cambria Math" w:hAnsi="Cambria Math" w:eastAsia="微软雅黑"/>
                <w:szCs w:val="20"/>
              </w:rPr>
              <m:t>1</m:t>
            </m:r>
            <m:ctrlPr>
              <w:rPr>
                <w:rFonts w:ascii="Cambria Math" w:hAnsi="Cambria Math" w:eastAsia="微软雅黑"/>
                <w:i/>
                <w:iCs/>
                <w:szCs w:val="20"/>
              </w:rPr>
            </m:ctrlPr>
          </m:sub>
        </m:sSub>
      </m:oMath>
      <w:r>
        <w:rPr>
          <w:rFonts w:hint="eastAsia" w:hAnsi="Cambria Math" w:eastAsia="微软雅黑"/>
          <w:iCs/>
          <w:szCs w:val="20"/>
        </w:rPr>
        <w:t xml:space="preserve"> and </w:t>
      </w:r>
      <m:oMath>
        <m:sSub>
          <m:sSubPr>
            <m:ctrlPr>
              <w:rPr>
                <w:rFonts w:ascii="Cambria Math" w:hAnsi="Cambria Math" w:eastAsia="微软雅黑"/>
                <w:i/>
                <w:iCs/>
                <w:szCs w:val="20"/>
              </w:rPr>
            </m:ctrlPr>
          </m:sSubPr>
          <m:e>
            <m:r>
              <m:rPr/>
              <w:rPr>
                <w:rFonts w:ascii="Cambria Math" w:hAnsi="Cambria Math" w:eastAsia="微软雅黑"/>
                <w:szCs w:val="20"/>
              </w:rPr>
              <m:t>t</m:t>
            </m:r>
            <m:ctrlPr>
              <w:rPr>
                <w:rFonts w:ascii="Cambria Math" w:hAnsi="Cambria Math" w:eastAsia="微软雅黑"/>
                <w:i/>
                <w:iCs/>
                <w:szCs w:val="20"/>
              </w:rPr>
            </m:ctrlPr>
          </m:e>
          <m:sub>
            <m:r>
              <m:rPr/>
              <w:rPr>
                <w:rFonts w:ascii="Cambria Math" w:hAnsi="Cambria Math" w:eastAsia="微软雅黑"/>
                <w:szCs w:val="20"/>
              </w:rPr>
              <m:t>2</m:t>
            </m:r>
            <m:ctrlPr>
              <w:rPr>
                <w:rFonts w:ascii="Cambria Math" w:hAnsi="Cambria Math" w:eastAsia="微软雅黑"/>
                <w:i/>
                <w:iCs/>
                <w:szCs w:val="20"/>
              </w:rPr>
            </m:ctrlPr>
          </m:sub>
        </m:sSub>
      </m:oMath>
      <w:bookmarkEnd w:id="16"/>
      <w:r>
        <w:rPr>
          <w:rFonts w:hint="eastAsia" w:hAnsi="Cambria Math" w:eastAsia="微软雅黑"/>
          <w:iCs/>
          <w:szCs w:val="20"/>
        </w:rPr>
        <w:t xml:space="preserve">, the phase shift caused by a CFO </w:t>
      </w:r>
      <m:oMath>
        <w:bookmarkStart w:id="17" w:name="OLE_LINK23"/>
        <m:r>
          <m:rPr>
            <m:sty m:val="p"/>
          </m:rPr>
          <w:rPr>
            <w:rFonts w:ascii="Cambria Math" w:hAnsi="Cambria Math"/>
            <w:szCs w:val="20"/>
          </w:rPr>
          <m:t>∆</m:t>
        </m:r>
        <m:r>
          <m:rPr/>
          <w:rPr>
            <w:rFonts w:ascii="Cambria Math" w:hAnsi="Cambria Math"/>
            <w:szCs w:val="20"/>
          </w:rPr>
          <m:t>f</m:t>
        </m:r>
      </m:oMath>
      <w:bookmarkEnd w:id="17"/>
      <w:r>
        <w:rPr>
          <w:rFonts w:hint="eastAsia" w:hAnsi="Cambria Math"/>
          <w:szCs w:val="20"/>
        </w:rPr>
        <w:t xml:space="preserve"> between </w:t>
      </w:r>
      <m:oMath>
        <m:sSub>
          <m:sSubPr>
            <m:ctrlPr>
              <w:rPr>
                <w:rFonts w:ascii="Cambria Math" w:hAnsi="Cambria Math" w:eastAsia="微软雅黑"/>
                <w:i/>
                <w:iCs/>
                <w:szCs w:val="20"/>
              </w:rPr>
            </m:ctrlPr>
          </m:sSubPr>
          <m:e>
            <m:r>
              <m:rPr/>
              <w:rPr>
                <w:rFonts w:ascii="Cambria Math" w:hAnsi="Cambria Math" w:eastAsia="微软雅黑"/>
                <w:szCs w:val="20"/>
              </w:rPr>
              <m:t>t</m:t>
            </m:r>
            <m:ctrlPr>
              <w:rPr>
                <w:rFonts w:ascii="Cambria Math" w:hAnsi="Cambria Math" w:eastAsia="微软雅黑"/>
                <w:i/>
                <w:iCs/>
                <w:szCs w:val="20"/>
              </w:rPr>
            </m:ctrlPr>
          </m:e>
          <m:sub>
            <m:r>
              <m:rPr/>
              <w:rPr>
                <w:rFonts w:ascii="Cambria Math" w:hAnsi="Cambria Math" w:eastAsia="微软雅黑"/>
                <w:szCs w:val="20"/>
              </w:rPr>
              <m:t>1</m:t>
            </m:r>
            <m:ctrlPr>
              <w:rPr>
                <w:rFonts w:ascii="Cambria Math" w:hAnsi="Cambria Math" w:eastAsia="微软雅黑"/>
                <w:i/>
                <w:iCs/>
                <w:szCs w:val="20"/>
              </w:rPr>
            </m:ctrlPr>
          </m:sub>
        </m:sSub>
      </m:oMath>
      <w:r>
        <w:rPr>
          <w:rFonts w:hint="eastAsia" w:hAnsi="Cambria Math" w:eastAsia="微软雅黑"/>
          <w:iCs/>
          <w:szCs w:val="20"/>
        </w:rPr>
        <w:t xml:space="preserve"> and </w:t>
      </w:r>
      <m:oMath>
        <m:sSub>
          <m:sSubPr>
            <m:ctrlPr>
              <w:rPr>
                <w:rFonts w:ascii="Cambria Math" w:hAnsi="Cambria Math" w:eastAsia="微软雅黑"/>
                <w:i/>
                <w:iCs/>
                <w:szCs w:val="20"/>
              </w:rPr>
            </m:ctrlPr>
          </m:sSubPr>
          <m:e>
            <m:r>
              <m:rPr/>
              <w:rPr>
                <w:rFonts w:ascii="Cambria Math" w:hAnsi="Cambria Math" w:eastAsia="微软雅黑"/>
                <w:szCs w:val="20"/>
              </w:rPr>
              <m:t>t</m:t>
            </m:r>
            <m:ctrlPr>
              <w:rPr>
                <w:rFonts w:ascii="Cambria Math" w:hAnsi="Cambria Math" w:eastAsia="微软雅黑"/>
                <w:i/>
                <w:iCs/>
                <w:szCs w:val="20"/>
              </w:rPr>
            </m:ctrlPr>
          </m:e>
          <m:sub>
            <m:r>
              <m:rPr/>
              <w:rPr>
                <w:rFonts w:ascii="Cambria Math" w:hAnsi="Cambria Math" w:eastAsia="微软雅黑"/>
                <w:szCs w:val="20"/>
              </w:rPr>
              <m:t>2</m:t>
            </m:r>
            <m:ctrlPr>
              <w:rPr>
                <w:rFonts w:ascii="Cambria Math" w:hAnsi="Cambria Math" w:eastAsia="微软雅黑"/>
                <w:i/>
                <w:iCs/>
                <w:szCs w:val="20"/>
              </w:rPr>
            </m:ctrlPr>
          </m:sub>
        </m:sSub>
      </m:oMath>
      <w:r>
        <w:rPr>
          <w:rFonts w:hint="eastAsia" w:hAnsi="Cambria Math" w:eastAsia="微软雅黑"/>
          <w:iCs/>
          <w:szCs w:val="20"/>
        </w:rPr>
        <w:t xml:space="preserve"> can be expressed as</w:t>
      </w:r>
    </w:p>
    <w:p>
      <w:pPr>
        <w:snapToGrid w:val="0"/>
        <w:spacing w:before="120" w:beforeLines="50" w:after="120" w:afterLines="50" w:line="300" w:lineRule="auto"/>
        <w:rPr>
          <w:rFonts w:hAnsi="Cambria Math"/>
          <w:iCs/>
          <w:szCs w:val="20"/>
        </w:rPr>
      </w:pPr>
      <m:oMathPara>
        <m:oMath>
          <m:r>
            <m:rPr/>
            <w:rPr>
              <w:rFonts w:ascii="Cambria Math" w:hAnsi="Cambria Math"/>
              <w:szCs w:val="20"/>
            </w:rPr>
            <m:t>ω</m:t>
          </m:r>
          <m:r>
            <m:rPr>
              <m:sty m:val="p"/>
            </m:rPr>
            <w:rPr>
              <w:rFonts w:ascii="Cambria Math" w:hAnsi="Cambria Math"/>
              <w:szCs w:val="20"/>
            </w:rPr>
            <m:t>=angle</m:t>
          </m:r>
          <m:d>
            <m:dPr>
              <m:ctrlPr>
                <w:rPr>
                  <w:rFonts w:ascii="Cambria Math" w:hAnsi="Cambria Math"/>
                  <w:iCs/>
                  <w:szCs w:val="20"/>
                </w:rPr>
              </m:ctrlPr>
            </m:dPr>
            <m:e>
              <m:f>
                <m:fPr>
                  <m:type m:val="lin"/>
                  <m:ctrlPr>
                    <w:rPr>
                      <w:rFonts w:ascii="Cambria Math" w:hAnsi="Cambria Math"/>
                      <w:i/>
                      <w:szCs w:val="20"/>
                    </w:rPr>
                  </m:ctrlPr>
                </m:fPr>
                <m:num>
                  <m:r>
                    <m:rPr/>
                    <w:rPr>
                      <w:rFonts w:ascii="Cambria Math" w:hAnsi="Cambria Math" w:eastAsia="微软雅黑"/>
                      <w:szCs w:val="20"/>
                    </w:rPr>
                    <m:t>ℎ(</m:t>
                  </m:r>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1</m:t>
                      </m:r>
                      <m:ctrlPr>
                        <w:rPr>
                          <w:rFonts w:ascii="Cambria Math" w:hAnsi="Cambria Math" w:eastAsia="微软雅黑"/>
                          <w:i/>
                          <w:iCs/>
                          <w:szCs w:val="20"/>
                        </w:rPr>
                      </m:ctrlPr>
                    </m:sub>
                  </m:sSub>
                  <m:r>
                    <m:rPr/>
                    <w:rPr>
                      <w:rFonts w:ascii="Cambria Math" w:hAnsi="Cambria Math" w:eastAsia="微软雅黑"/>
                      <w:szCs w:val="20"/>
                    </w:rPr>
                    <m:t>)</m:t>
                  </m:r>
                  <m:ctrlPr>
                    <w:rPr>
                      <w:rFonts w:ascii="Cambria Math" w:hAnsi="Cambria Math"/>
                      <w:i/>
                      <w:szCs w:val="20"/>
                    </w:rPr>
                  </m:ctrlPr>
                </m:num>
                <m:den>
                  <m:r>
                    <m:rPr/>
                    <w:rPr>
                      <w:rFonts w:ascii="Cambria Math" w:hAnsi="Cambria Math" w:eastAsia="微软雅黑"/>
                      <w:szCs w:val="20"/>
                    </w:rPr>
                    <m:t>ℎ(</m:t>
                  </m:r>
                  <m:sSub>
                    <m:sSubPr>
                      <m:ctrlPr>
                        <w:rPr>
                          <w:rFonts w:ascii="Cambria Math" w:hAnsi="Cambria Math" w:eastAsia="微软雅黑"/>
                          <w:i/>
                          <w:iCs/>
                          <w:szCs w:val="20"/>
                        </w:rPr>
                      </m:ctrlPr>
                    </m:sSubPr>
                    <m:e>
                      <m:r>
                        <m:rPr/>
                        <w:rPr>
                          <w:rFonts w:ascii="Cambria Math" w:hAnsi="Cambria Math" w:eastAsia="微软雅黑"/>
                          <w:szCs w:val="20"/>
                        </w:rPr>
                        <m:t>n</m:t>
                      </m:r>
                      <m:ctrlPr>
                        <w:rPr>
                          <w:rFonts w:ascii="Cambria Math" w:hAnsi="Cambria Math" w:eastAsia="微软雅黑"/>
                          <w:i/>
                          <w:iCs/>
                          <w:szCs w:val="20"/>
                        </w:rPr>
                      </m:ctrlPr>
                    </m:e>
                    <m:sub>
                      <m:r>
                        <m:rPr/>
                        <w:rPr>
                          <w:rFonts w:ascii="Cambria Math" w:hAnsi="Cambria Math" w:eastAsia="微软雅黑"/>
                          <w:szCs w:val="20"/>
                        </w:rPr>
                        <m:t>2</m:t>
                      </m:r>
                      <m:ctrlPr>
                        <w:rPr>
                          <w:rFonts w:ascii="Cambria Math" w:hAnsi="Cambria Math" w:eastAsia="微软雅黑"/>
                          <w:i/>
                          <w:iCs/>
                          <w:szCs w:val="20"/>
                        </w:rPr>
                      </m:ctrlPr>
                    </m:sub>
                  </m:sSub>
                  <m:r>
                    <m:rPr/>
                    <w:rPr>
                      <w:rFonts w:ascii="Cambria Math" w:hAnsi="Cambria Math" w:eastAsia="微软雅黑"/>
                      <w:szCs w:val="20"/>
                    </w:rPr>
                    <m:t>)</m:t>
                  </m:r>
                  <m:ctrlPr>
                    <w:rPr>
                      <w:rFonts w:ascii="Cambria Math" w:hAnsi="Cambria Math"/>
                      <w:i/>
                      <w:szCs w:val="20"/>
                    </w:rPr>
                  </m:ctrlPr>
                </m:den>
              </m:f>
              <m:ctrlPr>
                <w:rPr>
                  <w:rFonts w:ascii="Cambria Math" w:hAnsi="Cambria Math"/>
                  <w:iCs/>
                  <w:szCs w:val="20"/>
                </w:rPr>
              </m:ctrlPr>
            </m:e>
          </m:d>
          <m:r>
            <m:rPr>
              <m:sty m:val="p"/>
            </m:rPr>
            <w:rPr>
              <w:rFonts w:ascii="Cambria Math" w:hAnsi="Cambria Math"/>
              <w:szCs w:val="20"/>
            </w:rPr>
            <m:t>=2</m:t>
          </m:r>
          <m:r>
            <m:rPr/>
            <w:rPr>
              <w:rFonts w:ascii="Cambria Math" w:hAnsi="Cambria Math"/>
              <w:szCs w:val="20"/>
            </w:rPr>
            <m:t>π</m:t>
          </m:r>
          <m:r>
            <m:rPr>
              <m:sty m:val="p"/>
            </m:rPr>
            <w:rPr>
              <w:rFonts w:ascii="Cambria Math" w:hAnsi="Cambria Math"/>
              <w:szCs w:val="20"/>
            </w:rPr>
            <m:t>∆</m:t>
          </m:r>
          <m:r>
            <m:rPr/>
            <w:rPr>
              <w:rFonts w:ascii="Cambria Math" w:hAnsi="Cambria Math"/>
              <w:szCs w:val="20"/>
            </w:rPr>
            <m:t>f(</m:t>
          </m:r>
          <m:sSub>
            <m:sSubPr>
              <m:ctrlPr>
                <w:rPr>
                  <w:rFonts w:ascii="Cambria Math" w:hAnsi="Cambria Math" w:eastAsia="微软雅黑"/>
                  <w:i/>
                  <w:iCs/>
                  <w:szCs w:val="20"/>
                </w:rPr>
              </m:ctrlPr>
            </m:sSubPr>
            <m:e>
              <m:r>
                <m:rPr/>
                <w:rPr>
                  <w:rFonts w:ascii="Cambria Math" w:hAnsi="Cambria Math" w:eastAsia="微软雅黑"/>
                  <w:szCs w:val="20"/>
                </w:rPr>
                <m:t>t</m:t>
              </m:r>
              <m:ctrlPr>
                <w:rPr>
                  <w:rFonts w:ascii="Cambria Math" w:hAnsi="Cambria Math" w:eastAsia="微软雅黑"/>
                  <w:i/>
                  <w:iCs/>
                  <w:szCs w:val="20"/>
                </w:rPr>
              </m:ctrlPr>
            </m:e>
            <m:sub>
              <m:r>
                <m:rPr/>
                <w:rPr>
                  <w:rFonts w:ascii="Cambria Math" w:hAnsi="Cambria Math" w:eastAsia="微软雅黑"/>
                  <w:szCs w:val="20"/>
                </w:rPr>
                <m:t>1</m:t>
              </m:r>
              <m:ctrlPr>
                <w:rPr>
                  <w:rFonts w:ascii="Cambria Math" w:hAnsi="Cambria Math" w:eastAsia="微软雅黑"/>
                  <w:i/>
                  <w:iCs/>
                  <w:szCs w:val="20"/>
                </w:rPr>
              </m:ctrlPr>
            </m:sub>
          </m:sSub>
          <m:r>
            <m:rPr/>
            <w:rPr>
              <w:rFonts w:ascii="Cambria Math" w:hAnsi="Cambria Math" w:eastAsia="微软雅黑"/>
              <w:szCs w:val="20"/>
            </w:rPr>
            <m:t>−</m:t>
          </m:r>
          <m:sSub>
            <m:sSubPr>
              <m:ctrlPr>
                <w:rPr>
                  <w:rFonts w:ascii="Cambria Math" w:hAnsi="Cambria Math" w:eastAsia="微软雅黑"/>
                  <w:i/>
                  <w:iCs/>
                  <w:szCs w:val="20"/>
                </w:rPr>
              </m:ctrlPr>
            </m:sSubPr>
            <m:e>
              <m:r>
                <m:rPr/>
                <w:rPr>
                  <w:rFonts w:ascii="Cambria Math" w:hAnsi="Cambria Math" w:eastAsia="微软雅黑"/>
                  <w:szCs w:val="20"/>
                </w:rPr>
                <m:t>t</m:t>
              </m:r>
              <m:ctrlPr>
                <w:rPr>
                  <w:rFonts w:ascii="Cambria Math" w:hAnsi="Cambria Math" w:eastAsia="微软雅黑"/>
                  <w:i/>
                  <w:iCs/>
                  <w:szCs w:val="20"/>
                </w:rPr>
              </m:ctrlPr>
            </m:e>
            <m:sub>
              <m:r>
                <m:rPr/>
                <w:rPr>
                  <w:rFonts w:ascii="Cambria Math" w:hAnsi="Cambria Math" w:eastAsia="微软雅黑"/>
                  <w:szCs w:val="20"/>
                </w:rPr>
                <m:t>2</m:t>
              </m:r>
              <m:ctrlPr>
                <w:rPr>
                  <w:rFonts w:ascii="Cambria Math" w:hAnsi="Cambria Math" w:eastAsia="微软雅黑"/>
                  <w:i/>
                  <w:iCs/>
                  <w:szCs w:val="20"/>
                </w:rPr>
              </m:ctrlPr>
            </m:sub>
          </m:sSub>
          <m:r>
            <m:rPr/>
            <w:rPr>
              <w:rFonts w:ascii="Cambria Math" w:hAnsi="Cambria Math"/>
              <w:szCs w:val="20"/>
            </w:rPr>
            <m:t>)</m:t>
          </m:r>
        </m:oMath>
      </m:oMathPara>
    </w:p>
    <w:p>
      <w:pPr>
        <w:snapToGrid w:val="0"/>
        <w:spacing w:before="120" w:beforeLines="50" w:after="120" w:afterLines="50" w:line="300" w:lineRule="auto"/>
        <w:rPr>
          <w:rFonts w:eastAsia="微软雅黑"/>
          <w:szCs w:val="20"/>
        </w:rPr>
      </w:pPr>
      <w:r>
        <w:rPr>
          <w:rFonts w:hint="eastAsia" w:eastAsia="微软雅黑"/>
          <w:szCs w:val="20"/>
        </w:rPr>
        <w:t>Accordingly, to measure the CFOs corresponding to multiple TRPs, 1-port CSI-RS resource pair needs to be configured for each TRP. These two CSI-RS resources share the same subcarriers, but are separated by a time interval.</w:t>
      </w:r>
      <w:bookmarkEnd w:id="12"/>
      <w:r>
        <w:rPr>
          <w:rFonts w:hint="eastAsia" w:eastAsia="微软雅黑"/>
          <w:szCs w:val="20"/>
        </w:rPr>
        <w:t xml:space="preserve"> </w:t>
      </w:r>
      <w:bookmarkStart w:id="18" w:name="OLE_LINK24"/>
      <w:r>
        <w:rPr>
          <w:rFonts w:hint="eastAsia" w:eastAsia="微软雅黑"/>
          <w:szCs w:val="20"/>
        </w:rPr>
        <w:t>The RS configuration and CFO measurement are illustrated in figure 9.</w:t>
      </w:r>
      <w:bookmarkEnd w:id="18"/>
      <w:r>
        <w:rPr>
          <w:rFonts w:hint="eastAsia" w:eastAsia="微软雅黑"/>
          <w:szCs w:val="20"/>
        </w:rPr>
        <w:t xml:space="preserve"> It is noted that TRS can also be utilized to measure the CFOs, but the four CSI-RS resources in a TRS set can be redundant.</w:t>
      </w:r>
    </w:p>
    <w:p>
      <w:pPr>
        <w:snapToGrid w:val="0"/>
        <w:spacing w:before="120" w:beforeLines="50" w:after="120" w:afterLines="50" w:line="300" w:lineRule="auto"/>
        <w:jc w:val="center"/>
      </w:pPr>
      <w:r>
        <w:drawing>
          <wp:inline distT="0" distB="0" distL="114300" distR="114300">
            <wp:extent cx="2339975" cy="2479040"/>
            <wp:effectExtent l="0" t="0" r="3175"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a:stretch>
                      <a:fillRect/>
                    </a:stretch>
                  </pic:blipFill>
                  <pic:spPr>
                    <a:xfrm>
                      <a:off x="0" y="0"/>
                      <a:ext cx="2339975" cy="2479040"/>
                    </a:xfrm>
                    <a:prstGeom prst="rect">
                      <a:avLst/>
                    </a:prstGeom>
                  </pic:spPr>
                </pic:pic>
              </a:graphicData>
            </a:graphic>
          </wp:inline>
        </w:drawing>
      </w:r>
    </w:p>
    <w:p>
      <w:pPr>
        <w:snapToGrid w:val="0"/>
        <w:spacing w:before="120" w:beforeLines="50" w:after="120" w:afterLines="50" w:line="300" w:lineRule="auto"/>
        <w:jc w:val="center"/>
      </w:pPr>
      <w:r>
        <w:rPr>
          <w:rFonts w:hint="eastAsia"/>
          <w:b/>
          <w:bCs/>
        </w:rPr>
        <w:t>Figure 9</w:t>
      </w:r>
      <w:r>
        <w:rPr>
          <w:rFonts w:hint="eastAsia"/>
        </w:rPr>
        <w:t xml:space="preserve"> RS configuration for CFO measurement</w:t>
      </w:r>
    </w:p>
    <w:bookmarkEnd w:id="9"/>
    <w:bookmarkEnd w:id="11"/>
    <w:p>
      <w:pPr>
        <w:snapToGrid w:val="0"/>
        <w:spacing w:before="120" w:beforeLines="50" w:after="120" w:afterLines="50" w:line="300" w:lineRule="auto"/>
        <w:rPr>
          <w:rFonts w:eastAsia="微软雅黑"/>
          <w:i/>
          <w:iCs/>
          <w:szCs w:val="20"/>
        </w:rPr>
      </w:pPr>
      <w:r>
        <w:rPr>
          <w:rFonts w:hint="eastAsia" w:eastAsia="微软雅黑"/>
          <w:b/>
          <w:bCs/>
          <w:i/>
          <w:iCs/>
          <w:szCs w:val="20"/>
        </w:rPr>
        <w:t>Proposal 1</w:t>
      </w:r>
      <w:r>
        <w:rPr>
          <w:rFonts w:eastAsia="微软雅黑"/>
          <w:b/>
          <w:bCs/>
          <w:i/>
          <w:iCs/>
          <w:szCs w:val="20"/>
        </w:rPr>
        <w:t>3</w:t>
      </w:r>
      <w:r>
        <w:rPr>
          <w:rFonts w:hint="eastAsia" w:eastAsia="微软雅黑"/>
          <w:b/>
          <w:bCs/>
          <w:i/>
          <w:iCs/>
          <w:szCs w:val="20"/>
        </w:rPr>
        <w:t>:</w:t>
      </w:r>
      <w:r>
        <w:rPr>
          <w:rFonts w:hint="eastAsia" w:eastAsia="微软雅黑"/>
          <w:i/>
          <w:iCs/>
          <w:szCs w:val="20"/>
        </w:rPr>
        <w:t xml:space="preserve"> </w:t>
      </w:r>
      <w:r>
        <w:rPr>
          <w:rFonts w:eastAsia="微软雅黑"/>
          <w:i/>
          <w:iCs/>
          <w:szCs w:val="20"/>
        </w:rPr>
        <w:t>Regarding</w:t>
      </w:r>
      <w:r>
        <w:rPr>
          <w:rFonts w:hint="eastAsia" w:eastAsia="微软雅黑"/>
          <w:i/>
          <w:iCs/>
          <w:szCs w:val="20"/>
        </w:rPr>
        <w:t xml:space="preserve"> inter-TRP frequency offset measurement, the following RS configuration can be considered:</w:t>
      </w:r>
    </w:p>
    <w:p>
      <w:pPr>
        <w:numPr>
          <w:ilvl w:val="0"/>
          <w:numId w:val="13"/>
        </w:numPr>
        <w:snapToGrid w:val="0"/>
        <w:spacing w:before="120" w:beforeLines="50" w:after="120" w:afterLines="50" w:line="300" w:lineRule="auto"/>
        <w:rPr>
          <w:rFonts w:eastAsia="微软雅黑"/>
          <w:i/>
          <w:iCs/>
          <w:szCs w:val="20"/>
        </w:rPr>
      </w:pPr>
      <w:bookmarkStart w:id="19" w:name="OLE_LINK4"/>
      <w:r>
        <w:rPr>
          <w:rFonts w:hint="eastAsia" w:eastAsia="微软雅黑"/>
          <w:i/>
          <w:iCs/>
          <w:szCs w:val="20"/>
        </w:rPr>
        <w:t xml:space="preserve">One CSI-RS resource pair with </w:t>
      </w:r>
      <w:bookmarkStart w:id="20" w:name="OLE_LINK1"/>
      <w:r>
        <w:rPr>
          <w:rFonts w:hint="eastAsia" w:eastAsia="微软雅黑"/>
          <w:i/>
          <w:iCs/>
          <w:szCs w:val="20"/>
        </w:rPr>
        <w:t xml:space="preserve">1 </w:t>
      </w:r>
      <w:bookmarkEnd w:id="20"/>
      <w:r>
        <w:rPr>
          <w:rFonts w:hint="eastAsia" w:eastAsia="微软雅黑"/>
          <w:i/>
          <w:iCs/>
          <w:szCs w:val="20"/>
        </w:rPr>
        <w:t>port is configured for each TRP.</w:t>
      </w:r>
    </w:p>
    <w:bookmarkEnd w:id="19"/>
    <w:p>
      <w:pPr>
        <w:snapToGrid w:val="0"/>
        <w:spacing w:before="120" w:beforeLines="50" w:after="120" w:afterLines="50" w:line="300" w:lineRule="auto"/>
        <w:rPr>
          <w:rFonts w:hAnsi="Cambria Math"/>
          <w:szCs w:val="20"/>
        </w:rPr>
      </w:pPr>
      <w:bookmarkStart w:id="21" w:name="OLE_LINK3"/>
      <w:r>
        <w:rPr>
          <w:rFonts w:hint="eastAsia" w:eastAsia="微软雅黑"/>
          <w:szCs w:val="20"/>
        </w:rPr>
        <w:t xml:space="preserve">For the sake of overhead saving, the measured CFOs can be reported in a differential manner based on a reference. Assuming </w:t>
      </w:r>
      <m:oMath>
        <m:sSub>
          <m:sSubPr>
            <m:ctrlPr>
              <w:rPr>
                <w:rFonts w:ascii="Cambria Math" w:hAnsi="Cambria Math"/>
                <w:i/>
                <w:szCs w:val="20"/>
              </w:rPr>
            </m:ctrlPr>
          </m:sSubPr>
          <m:e>
            <w:bookmarkStart w:id="22" w:name="OLE_LINK26"/>
            <m:r>
              <m:rPr/>
              <w:rPr>
                <w:rFonts w:ascii="Cambria Math" w:hAnsi="Cambria Math"/>
                <w:szCs w:val="20"/>
              </w:rPr>
              <m:t>∆f</m:t>
            </m:r>
            <w:bookmarkEnd w:id="22"/>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i</m:t>
                </m:r>
                <m:ctrlPr>
                  <w:rPr>
                    <w:rFonts w:ascii="Cambria Math" w:hAnsi="Cambria Math"/>
                    <w:i/>
                    <w:szCs w:val="20"/>
                  </w:rPr>
                </m:ctrlPr>
              </m:e>
              <m:sub>
                <m:r>
                  <m:rPr>
                    <m:sty m:val="p"/>
                  </m:rPr>
                  <w:rPr>
                    <w:rFonts w:ascii="Cambria Math" w:hAnsi="Cambria Math"/>
                    <w:szCs w:val="20"/>
                  </w:rPr>
                  <m:t>ref</m:t>
                </m:r>
                <m:ctrlPr>
                  <w:rPr>
                    <w:rFonts w:ascii="Cambria Math" w:hAnsi="Cambria Math"/>
                    <w:i/>
                    <w:szCs w:val="20"/>
                  </w:rPr>
                </m:ctrlPr>
              </m:sub>
            </m:sSub>
            <m:ctrlPr>
              <w:rPr>
                <w:rFonts w:ascii="Cambria Math" w:hAnsi="Cambria Math"/>
                <w:i/>
                <w:szCs w:val="20"/>
              </w:rPr>
            </m:ctrlPr>
          </m:sub>
        </m:sSub>
        <m:r>
          <m:rPr/>
          <w:rPr>
            <w:rFonts w:ascii="Cambria Math" w:hAnsi="Cambria Math"/>
            <w:szCs w:val="20"/>
          </w:rPr>
          <m:t>(1≤</m:t>
        </m:r>
        <m:sSub>
          <m:sSubPr>
            <m:ctrlPr>
              <w:rPr>
                <w:rFonts w:ascii="Cambria Math" w:hAnsi="Cambria Math"/>
                <w:i/>
                <w:szCs w:val="20"/>
              </w:rPr>
            </m:ctrlPr>
          </m:sSubPr>
          <m:e>
            <m:r>
              <m:rPr/>
              <w:rPr>
                <w:rFonts w:ascii="Cambria Math" w:hAnsi="Cambria Math"/>
                <w:szCs w:val="20"/>
              </w:rPr>
              <m:t>i</m:t>
            </m:r>
            <m:ctrlPr>
              <w:rPr>
                <w:rFonts w:ascii="Cambria Math" w:hAnsi="Cambria Math"/>
                <w:i/>
                <w:szCs w:val="20"/>
              </w:rPr>
            </m:ctrlPr>
          </m:e>
          <m:sub>
            <m:r>
              <m:rPr>
                <m:sty m:val="p"/>
              </m:rPr>
              <w:rPr>
                <w:rFonts w:ascii="Cambria Math" w:hAnsi="Cambria Math"/>
                <w:szCs w:val="20"/>
              </w:rPr>
              <m:t>ref</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m:sty m:val="p"/>
              </m:rPr>
              <w:rPr>
                <w:rFonts w:ascii="Cambria Math" w:hAnsi="Cambria Math"/>
                <w:szCs w:val="20"/>
              </w:rPr>
              <m:t>TRP</m:t>
            </m:r>
            <m:ctrlPr>
              <w:rPr>
                <w:rFonts w:ascii="Cambria Math" w:hAnsi="Cambria Math"/>
                <w:i/>
                <w:szCs w:val="20"/>
              </w:rPr>
            </m:ctrlPr>
          </m:sub>
        </m:sSub>
        <m:r>
          <m:rPr/>
          <w:rPr>
            <w:rFonts w:ascii="Cambria Math" w:hAnsi="Cambria Math"/>
            <w:szCs w:val="20"/>
          </w:rPr>
          <m:t>)</m:t>
        </m:r>
      </m:oMath>
      <w:r>
        <w:rPr>
          <w:rFonts w:hint="eastAsia" w:hAnsi="Cambria Math"/>
          <w:szCs w:val="20"/>
        </w:rPr>
        <w:t xml:space="preserve"> is a reference CFO selected from the measured CFOs </w:t>
      </w:r>
      <m:oMath>
        <m:d>
          <m:dPr>
            <m:begChr m:val="{"/>
            <m:endChr m:val="}"/>
            <m:ctrlPr>
              <w:rPr>
                <w:rFonts w:ascii="Cambria Math" w:hAnsi="Cambria Math"/>
                <w:i/>
                <w:szCs w:val="20"/>
              </w:rPr>
            </m:ctrlPr>
          </m:dPr>
          <m:e>
            <m:sSub>
              <m:sSubPr>
                <m:ctrlPr>
                  <w:rPr>
                    <w:rFonts w:ascii="Cambria Math" w:hAnsi="Cambria Math"/>
                    <w:i/>
                    <w:szCs w:val="20"/>
                  </w:rPr>
                </m:ctrlPr>
              </m:sSubPr>
              <m:e>
                <w:bookmarkStart w:id="23" w:name="OLE_LINK27"/>
                <m:r>
                  <m:rPr/>
                  <w:rPr>
                    <w:rFonts w:ascii="Cambria Math" w:hAnsi="Cambria Math"/>
                    <w:szCs w:val="20"/>
                  </w:rPr>
                  <m:t>∆f</m:t>
                </m:r>
                <w:bookmarkEnd w:id="23"/>
                <m:ctrlPr>
                  <w:rPr>
                    <w:rFonts w:ascii="Cambria Math" w:hAnsi="Cambria Math"/>
                    <w:i/>
                    <w:szCs w:val="20"/>
                  </w:rPr>
                </m:ctrlPr>
              </m:e>
              <m:sub>
                <m:r>
                  <m:rPr>
                    <m:sty m:val="p"/>
                  </m:rPr>
                  <w:rPr>
                    <w:rFonts w:ascii="Cambria Math" w:hAnsi="Cambria Math"/>
                    <w:szCs w:val="20"/>
                  </w:rPr>
                  <m:t>1</m:t>
                </m:r>
                <m:ctrlPr>
                  <w:rPr>
                    <w:rFonts w:ascii="Cambria Math" w:hAnsi="Cambria Math"/>
                    <w:i/>
                    <w:szCs w:val="20"/>
                  </w:rPr>
                </m:ctrlPr>
              </m:sub>
            </m:sSub>
            <m:r>
              <m:rPr/>
              <w:rPr>
                <w:rFonts w:ascii="Cambria Math" w:hAnsi="Cambria Math"/>
                <w:szCs w:val="20"/>
              </w:rPr>
              <m:t xml:space="preserve">, </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r>
                  <m:rPr>
                    <m:sty m:val="p"/>
                  </m:rPr>
                  <w:rPr>
                    <w:rFonts w:ascii="Cambria Math" w:hAnsi="Cambria Math"/>
                    <w:szCs w:val="20"/>
                  </w:rPr>
                  <m:t>2</m:t>
                </m:r>
                <m:ctrlPr>
                  <w:rPr>
                    <w:rFonts w:ascii="Cambria Math" w:hAnsi="Cambria Math"/>
                    <w:i/>
                    <w:szCs w:val="20"/>
                  </w:rPr>
                </m:ctrlPr>
              </m:sub>
            </m:sSub>
            <m:r>
              <m:rPr/>
              <w:rPr>
                <w:rFonts w:ascii="Cambria Math" w:hAnsi="Cambria Math"/>
                <w:szCs w:val="20"/>
              </w:rPr>
              <m:t xml:space="preserve">, ..., </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m:sty m:val="p"/>
                      </m:rPr>
                      <w:rPr>
                        <w:rFonts w:ascii="Cambria Math" w:hAnsi="Cambria Math"/>
                        <w:szCs w:val="20"/>
                      </w:rPr>
                      <m:t>TRP</m:t>
                    </m:r>
                    <m:ctrlPr>
                      <w:rPr>
                        <w:rFonts w:ascii="Cambria Math" w:hAnsi="Cambria Math"/>
                        <w:i/>
                        <w:szCs w:val="20"/>
                      </w:rPr>
                    </m:ctrlPr>
                  </m:sub>
                </m:sSub>
                <m:ctrlPr>
                  <w:rPr>
                    <w:rFonts w:ascii="Cambria Math" w:hAnsi="Cambria Math"/>
                    <w:i/>
                    <w:szCs w:val="20"/>
                  </w:rPr>
                </m:ctrlPr>
              </m:sub>
            </m:sSub>
            <m:ctrlPr>
              <w:rPr>
                <w:rFonts w:ascii="Cambria Math" w:hAnsi="Cambria Math"/>
                <w:i/>
                <w:szCs w:val="20"/>
              </w:rPr>
            </m:ctrlPr>
          </m:e>
        </m:d>
      </m:oMath>
      <w:r>
        <w:rPr>
          <w:rFonts w:hint="eastAsia" w:hAnsi="Cambria Math"/>
          <w:szCs w:val="20"/>
        </w:rPr>
        <w:t>, the differential CFOs can be expressed as</w:t>
      </w:r>
    </w:p>
    <w:p>
      <w:pPr>
        <w:snapToGrid w:val="0"/>
        <w:spacing w:before="120" w:beforeLines="50" w:after="120" w:afterLines="50" w:line="300" w:lineRule="auto"/>
        <w:rPr>
          <w:rFonts w:hAnsi="Cambria Math"/>
          <w:szCs w:val="20"/>
        </w:rPr>
      </w:pPr>
      <m:oMathPara>
        <m:oMath>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r>
                <m:rPr>
                  <m:sty m:val="p"/>
                </m:rPr>
                <w:rPr>
                  <w:rFonts w:ascii="Cambria Math" w:hAnsi="Cambria Math"/>
                  <w:szCs w:val="20"/>
                </w:rPr>
                <m:t xml:space="preserve">diff, </m:t>
              </m:r>
              <m:r>
                <m:rPr/>
                <w:rPr>
                  <w:rFonts w:ascii="Cambria Math" w:hAnsi="Cambria Math"/>
                  <w:szCs w:val="20"/>
                </w:rPr>
                <m:t>i</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r>
                <m:rPr/>
                <w:rPr>
                  <w:rFonts w:ascii="Cambria Math" w:hAnsi="Cambria Math"/>
                  <w:szCs w:val="20"/>
                </w:rPr>
                <m:t>i</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i</m:t>
                  </m:r>
                  <m:ctrlPr>
                    <w:rPr>
                      <w:rFonts w:ascii="Cambria Math" w:hAnsi="Cambria Math"/>
                      <w:i/>
                      <w:szCs w:val="20"/>
                    </w:rPr>
                  </m:ctrlPr>
                </m:e>
                <m:sub>
                  <m:r>
                    <m:rPr>
                      <m:sty m:val="p"/>
                    </m:rPr>
                    <w:rPr>
                      <w:rFonts w:ascii="Cambria Math" w:hAnsi="Cambria Math"/>
                      <w:szCs w:val="20"/>
                    </w:rPr>
                    <m:t>ref</m:t>
                  </m:r>
                  <m:ctrlPr>
                    <w:rPr>
                      <w:rFonts w:ascii="Cambria Math" w:hAnsi="Cambria Math"/>
                      <w:i/>
                      <w:szCs w:val="20"/>
                    </w:rPr>
                  </m:ctrlPr>
                </m:sub>
              </m:sSub>
              <m:ctrlPr>
                <w:rPr>
                  <w:rFonts w:ascii="Cambria Math" w:hAnsi="Cambria Math"/>
                  <w:i/>
                  <w:szCs w:val="20"/>
                </w:rPr>
              </m:ctrlPr>
            </m:sub>
          </m:sSub>
          <m:r>
            <m:rPr/>
            <w:rPr>
              <w:rFonts w:ascii="Cambria Math" w:hAnsi="Cambria Math"/>
              <w:szCs w:val="20"/>
            </w:rPr>
            <m:t xml:space="preserve"> (1≤i≤</m:t>
          </m:r>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m:sty m:val="p"/>
                </m:rPr>
                <w:rPr>
                  <w:rFonts w:ascii="Cambria Math" w:hAnsi="Cambria Math"/>
                  <w:szCs w:val="20"/>
                </w:rPr>
                <m:t>TRP</m:t>
              </m:r>
              <m:ctrlPr>
                <w:rPr>
                  <w:rFonts w:ascii="Cambria Math" w:hAnsi="Cambria Math"/>
                  <w:i/>
                  <w:szCs w:val="20"/>
                </w:rPr>
              </m:ctrlPr>
            </m:sub>
          </m:sSub>
          <m:r>
            <m:rPr/>
            <w:rPr>
              <w:rFonts w:ascii="Cambria Math" w:hAnsi="Cambria Math"/>
              <w:szCs w:val="20"/>
            </w:rPr>
            <m:t xml:space="preserve">, i≠ </m:t>
          </m:r>
          <m:sSub>
            <m:sSubPr>
              <m:ctrlPr>
                <w:rPr>
                  <w:rFonts w:ascii="Cambria Math" w:hAnsi="Cambria Math"/>
                  <w:i/>
                  <w:szCs w:val="20"/>
                </w:rPr>
              </m:ctrlPr>
            </m:sSubPr>
            <m:e>
              <m:r>
                <m:rPr/>
                <w:rPr>
                  <w:rFonts w:ascii="Cambria Math" w:hAnsi="Cambria Math"/>
                  <w:szCs w:val="20"/>
                </w:rPr>
                <m:t>i</m:t>
              </m:r>
              <m:ctrlPr>
                <w:rPr>
                  <w:rFonts w:ascii="Cambria Math" w:hAnsi="Cambria Math"/>
                  <w:i/>
                  <w:szCs w:val="20"/>
                </w:rPr>
              </m:ctrlPr>
            </m:e>
            <m:sub>
              <m:r>
                <m:rPr>
                  <m:sty m:val="p"/>
                </m:rPr>
                <w:rPr>
                  <w:rFonts w:ascii="Cambria Math" w:hAnsi="Cambria Math"/>
                  <w:szCs w:val="20"/>
                </w:rPr>
                <m:t>ref</m:t>
              </m:r>
              <m:ctrlPr>
                <w:rPr>
                  <w:rFonts w:ascii="Cambria Math" w:hAnsi="Cambria Math"/>
                  <w:i/>
                  <w:szCs w:val="20"/>
                </w:rPr>
              </m:ctrlPr>
            </m:sub>
          </m:sSub>
          <m:r>
            <m:rPr/>
            <w:rPr>
              <w:rFonts w:ascii="Cambria Math" w:hAnsi="Cambria Math"/>
              <w:szCs w:val="20"/>
            </w:rPr>
            <m:t>)</m:t>
          </m:r>
        </m:oMath>
      </m:oMathPara>
    </w:p>
    <w:p>
      <w:pPr>
        <w:snapToGrid w:val="0"/>
        <w:spacing w:before="120" w:beforeLines="50" w:after="120" w:afterLines="50" w:line="300" w:lineRule="auto"/>
        <w:rPr>
          <w:rFonts w:hAnsi="Cambria Math"/>
          <w:szCs w:val="20"/>
        </w:rPr>
      </w:pPr>
      <w:r>
        <w:rPr>
          <w:rFonts w:hint="eastAsia" w:hAnsi="Cambria Math"/>
          <w:szCs w:val="20"/>
        </w:rPr>
        <w:t>Then only the differential CFOs need to be reported. In future discussion, the reference selection (e.g. always select the minimum CFO as the reference) and the quantization of the differential CFOs can be further studied.</w:t>
      </w:r>
    </w:p>
    <w:p>
      <w:pPr>
        <w:snapToGrid w:val="0"/>
        <w:spacing w:before="120" w:beforeLines="50" w:after="120" w:afterLines="50" w:line="300" w:lineRule="auto"/>
        <w:rPr>
          <w:rFonts w:eastAsia="微软雅黑"/>
          <w:i/>
          <w:iCs/>
          <w:szCs w:val="20"/>
        </w:rPr>
      </w:pPr>
      <w:r>
        <w:rPr>
          <w:rFonts w:hint="eastAsia" w:eastAsia="微软雅黑"/>
          <w:b/>
          <w:bCs/>
          <w:i/>
          <w:iCs/>
          <w:szCs w:val="20"/>
        </w:rPr>
        <w:t>Proposal 1</w:t>
      </w:r>
      <w:r>
        <w:rPr>
          <w:rFonts w:eastAsia="微软雅黑"/>
          <w:b/>
          <w:bCs/>
          <w:i/>
          <w:iCs/>
          <w:szCs w:val="20"/>
        </w:rPr>
        <w:t>4</w:t>
      </w:r>
      <w:r>
        <w:rPr>
          <w:rFonts w:hint="eastAsia" w:eastAsia="微软雅黑"/>
          <w:b/>
          <w:bCs/>
          <w:i/>
          <w:iCs/>
          <w:szCs w:val="20"/>
        </w:rPr>
        <w:t>:</w:t>
      </w:r>
      <w:r>
        <w:rPr>
          <w:rFonts w:hint="eastAsia" w:eastAsia="微软雅黑"/>
          <w:i/>
          <w:iCs/>
          <w:szCs w:val="20"/>
        </w:rPr>
        <w:t xml:space="preserve"> </w:t>
      </w:r>
      <w:bookmarkEnd w:id="21"/>
      <w:r>
        <w:rPr>
          <w:rFonts w:hint="eastAsia" w:eastAsia="微软雅黑"/>
          <w:i/>
          <w:iCs/>
          <w:szCs w:val="20"/>
        </w:rPr>
        <w:t>Regarding the reporting format of inter-TRP frequency misalignment, support reporting the differential CFOs based on a reference.</w:t>
      </w:r>
    </w:p>
    <w:p>
      <w:pPr>
        <w:numPr>
          <w:ilvl w:val="0"/>
          <w:numId w:val="13"/>
        </w:numPr>
        <w:snapToGrid w:val="0"/>
        <w:spacing w:before="120" w:beforeLines="50" w:after="120" w:afterLines="50" w:line="300" w:lineRule="auto"/>
        <w:rPr>
          <w:rFonts w:eastAsia="微软雅黑"/>
          <w:i/>
          <w:iCs/>
          <w:szCs w:val="20"/>
        </w:rPr>
      </w:pPr>
      <w:r>
        <w:rPr>
          <w:rFonts w:hint="eastAsia" w:eastAsia="微软雅黑"/>
          <w:i/>
          <w:iCs/>
          <w:szCs w:val="20"/>
        </w:rPr>
        <w:t xml:space="preserve"> FFS: reference selection, and quantization of the differential CFOs.</w:t>
      </w:r>
    </w:p>
    <w:p>
      <w:pPr>
        <w:numPr>
          <w:ilvl w:val="1"/>
          <w:numId w:val="8"/>
        </w:numPr>
        <w:snapToGrid w:val="0"/>
        <w:spacing w:after="120" w:afterLines="50" w:line="25" w:lineRule="atLeast"/>
        <w:outlineLvl w:val="1"/>
        <w:rPr>
          <w:b/>
          <w:sz w:val="24"/>
          <w:szCs w:val="20"/>
        </w:rPr>
      </w:pPr>
      <w:r>
        <w:rPr>
          <w:rFonts w:hint="eastAsia"/>
          <w:b/>
          <w:sz w:val="24"/>
          <w:szCs w:val="20"/>
        </w:rPr>
        <w:t>Other issues</w:t>
      </w:r>
    </w:p>
    <w:p>
      <w:bookmarkStart w:id="24" w:name="OLE_LINK5"/>
      <w:r>
        <w:rPr>
          <w:rFonts w:hint="eastAsia"/>
        </w:rPr>
        <w:t>In real deployment, it is possible that only the inter-TRP time or frequency misalignment needs to be measured and pre-compensated, or both the inter-TRP time and frequency misalignment needs to be measured and pre-compensated. Therefore, to save the RS and reporting overhead, both separate and joint reporting of the inter-TRP time/frequency misalignment should be supported.</w:t>
      </w:r>
    </w:p>
    <w:bookmarkEnd w:id="24"/>
    <w:p>
      <w:pPr>
        <w:rPr>
          <w:i/>
          <w:iCs/>
        </w:rPr>
      </w:pPr>
      <w:r>
        <w:rPr>
          <w:rFonts w:hint="eastAsia"/>
          <w:b/>
          <w:bCs/>
          <w:i/>
          <w:iCs/>
        </w:rPr>
        <w:t>Proposal 1</w:t>
      </w:r>
      <w:r>
        <w:rPr>
          <w:b/>
          <w:bCs/>
          <w:i/>
          <w:iCs/>
        </w:rPr>
        <w:t>5</w:t>
      </w:r>
      <w:r>
        <w:rPr>
          <w:rFonts w:hint="eastAsia"/>
          <w:b/>
          <w:bCs/>
          <w:i/>
          <w:iCs/>
        </w:rPr>
        <w:t>:</w:t>
      </w:r>
      <w:r>
        <w:rPr>
          <w:rFonts w:hint="eastAsia"/>
          <w:i/>
          <w:iCs/>
        </w:rPr>
        <w:t xml:space="preserve"> Regarding the report quantities for inter-TRP time/frequency misalignment reporting, the followings should be supported:</w:t>
      </w:r>
    </w:p>
    <w:p>
      <w:pPr>
        <w:numPr>
          <w:ilvl w:val="0"/>
          <w:numId w:val="13"/>
        </w:numPr>
        <w:snapToGrid w:val="0"/>
        <w:spacing w:before="120" w:beforeLines="50" w:after="120" w:afterLines="50" w:line="300" w:lineRule="auto"/>
        <w:rPr>
          <w:rFonts w:eastAsia="微软雅黑"/>
          <w:i/>
          <w:iCs/>
          <w:szCs w:val="20"/>
        </w:rPr>
      </w:pPr>
      <w:r>
        <w:rPr>
          <w:rFonts w:eastAsia="微软雅黑"/>
          <w:i/>
          <w:iCs/>
          <w:szCs w:val="20"/>
        </w:rPr>
        <w:t>“Only i</w:t>
      </w:r>
      <w:r>
        <w:rPr>
          <w:rFonts w:hint="eastAsia" w:eastAsia="微软雅黑"/>
          <w:i/>
          <w:iCs/>
          <w:szCs w:val="20"/>
        </w:rPr>
        <w:t>nter-TRP time misalignment</w:t>
      </w:r>
      <w:r>
        <w:rPr>
          <w:rFonts w:eastAsia="微软雅黑"/>
          <w:i/>
          <w:iCs/>
          <w:szCs w:val="20"/>
        </w:rPr>
        <w:t>”,</w:t>
      </w:r>
    </w:p>
    <w:p>
      <w:pPr>
        <w:numPr>
          <w:ilvl w:val="0"/>
          <w:numId w:val="13"/>
        </w:numPr>
        <w:snapToGrid w:val="0"/>
        <w:spacing w:before="120" w:beforeLines="50" w:after="120" w:afterLines="50" w:line="300" w:lineRule="auto"/>
        <w:rPr>
          <w:rFonts w:eastAsia="微软雅黑"/>
          <w:i/>
          <w:iCs/>
          <w:szCs w:val="20"/>
        </w:rPr>
      </w:pPr>
      <w:r>
        <w:rPr>
          <w:rFonts w:eastAsia="微软雅黑"/>
          <w:i/>
          <w:iCs/>
          <w:szCs w:val="20"/>
        </w:rPr>
        <w:t>“Only i</w:t>
      </w:r>
      <w:r>
        <w:rPr>
          <w:rFonts w:hint="eastAsia" w:eastAsia="微软雅黑"/>
          <w:i/>
          <w:iCs/>
          <w:szCs w:val="20"/>
        </w:rPr>
        <w:t>n</w:t>
      </w:r>
      <w:r>
        <w:rPr>
          <w:rFonts w:eastAsia="微软雅黑"/>
          <w:i/>
          <w:iCs/>
          <w:szCs w:val="20"/>
        </w:rPr>
        <w:t>t</w:t>
      </w:r>
      <w:r>
        <w:rPr>
          <w:rFonts w:hint="eastAsia" w:eastAsia="微软雅黑"/>
          <w:i/>
          <w:iCs/>
          <w:szCs w:val="20"/>
        </w:rPr>
        <w:t>er-TRP frequency misalignment</w:t>
      </w:r>
      <w:r>
        <w:rPr>
          <w:rFonts w:eastAsia="微软雅黑"/>
          <w:i/>
          <w:iCs/>
          <w:szCs w:val="20"/>
        </w:rPr>
        <w:t>”,</w:t>
      </w:r>
      <w:r>
        <w:rPr>
          <w:rFonts w:hint="eastAsia" w:eastAsia="微软雅黑"/>
          <w:i/>
          <w:iCs/>
          <w:szCs w:val="20"/>
        </w:rPr>
        <w:t xml:space="preserve"> and</w:t>
      </w:r>
    </w:p>
    <w:p>
      <w:pPr>
        <w:numPr>
          <w:ilvl w:val="0"/>
          <w:numId w:val="13"/>
        </w:numPr>
        <w:snapToGrid w:val="0"/>
        <w:spacing w:before="120" w:beforeLines="50" w:after="120" w:afterLines="50" w:line="300" w:lineRule="auto"/>
        <w:rPr>
          <w:rFonts w:eastAsia="微软雅黑"/>
          <w:i/>
          <w:iCs/>
          <w:szCs w:val="20"/>
        </w:rPr>
      </w:pPr>
      <w:r>
        <w:rPr>
          <w:rFonts w:eastAsia="微软雅黑"/>
          <w:i/>
          <w:iCs/>
          <w:szCs w:val="20"/>
        </w:rPr>
        <w:t>“</w:t>
      </w:r>
      <w:r>
        <w:rPr>
          <w:rFonts w:hint="eastAsia" w:eastAsia="微软雅黑"/>
          <w:i/>
          <w:iCs/>
          <w:szCs w:val="20"/>
        </w:rPr>
        <w:t>Joint inter-TRP time/frequency misalignment</w:t>
      </w:r>
      <w:r>
        <w:rPr>
          <w:rFonts w:eastAsia="微软雅黑"/>
          <w:i/>
          <w:iCs/>
          <w:szCs w:val="20"/>
        </w:rPr>
        <w:t>”</w:t>
      </w:r>
      <w:r>
        <w:rPr>
          <w:rFonts w:hint="eastAsia" w:eastAsia="微软雅黑"/>
          <w:i/>
          <w:iCs/>
          <w:szCs w:val="20"/>
        </w:rPr>
        <w:t>.</w:t>
      </w:r>
    </w:p>
    <w:p>
      <w:pPr>
        <w:tabs>
          <w:tab w:val="left" w:pos="420"/>
        </w:tabs>
        <w:snapToGrid w:val="0"/>
        <w:spacing w:before="120" w:beforeLines="50" w:after="120" w:afterLines="50" w:line="300" w:lineRule="auto"/>
        <w:rPr>
          <w:rFonts w:eastAsia="微软雅黑"/>
          <w:szCs w:val="20"/>
        </w:rPr>
      </w:pPr>
      <w:r>
        <w:rPr>
          <w:rFonts w:hint="eastAsia" w:eastAsia="微软雅黑"/>
          <w:szCs w:val="20"/>
        </w:rPr>
        <w:t xml:space="preserve">Note that, in Rel-18 CSI refinement to support CJT, the inter-TRP co-phasing is introduced to eliminate the delay differences across different TRPs. The co-phasing adds a linear varying phase across different CSI subband. Within each CSI subband, the added phase remains unchanged. However, in non-ideal synchronization and </w:t>
      </w:r>
      <w:r>
        <w:rPr>
          <w:rFonts w:eastAsia="微软雅黑"/>
          <w:szCs w:val="20"/>
        </w:rPr>
        <w:t>backhaul</w:t>
      </w:r>
      <w:r>
        <w:rPr>
          <w:rFonts w:hint="eastAsia" w:eastAsia="微软雅黑"/>
          <w:szCs w:val="20"/>
        </w:rPr>
        <w:t xml:space="preserve"> scenarios, such co-phasing with the granularity of a CSI subband is not sufficient to address the strong frequency selectivity of the channel caused by the inter-TRP time misalignment. For more accurate CSI feedback, the CJT PMI/CQI should be calculated under the hypothesis that the inter-TRP time misalignment will be pre-compensated for PDSCH reception. To achieve this, after the UE reporting the inter-TRP time misalignment information, the CJT TRPs should transmit normal CMR(s) without pre-compensation for inter-TRP time misalignment, but </w:t>
      </w:r>
      <w:r>
        <w:rPr>
          <w:rFonts w:eastAsia="微软雅黑"/>
          <w:szCs w:val="20"/>
        </w:rPr>
        <w:t xml:space="preserve">which can be </w:t>
      </w:r>
      <w:r>
        <w:rPr>
          <w:rFonts w:hint="eastAsia" w:eastAsia="微软雅黑"/>
          <w:szCs w:val="20"/>
        </w:rPr>
        <w:t>associate</w:t>
      </w:r>
      <w:r>
        <w:rPr>
          <w:rFonts w:eastAsia="微软雅黑"/>
          <w:szCs w:val="20"/>
        </w:rPr>
        <w:t xml:space="preserve">d with </w:t>
      </w:r>
      <w:r>
        <w:rPr>
          <w:rFonts w:hint="eastAsia" w:eastAsia="微软雅黑"/>
          <w:szCs w:val="20"/>
        </w:rPr>
        <w:t>the UE-specific inter-TRP time misalignment information. Upon receiving the CMR(s), the UE can calculate the CJT PMI/CQI assuming that the associated inter-TRP time misalignment information will be utilized for pre-compensation. In other words, the inter-TRP co-phasing in CJT CSI reporting only addresses slight</w:t>
      </w:r>
      <w:r>
        <w:rPr>
          <w:rFonts w:eastAsia="微软雅黑"/>
          <w:szCs w:val="20"/>
        </w:rPr>
        <w:t>ly</w:t>
      </w:r>
      <w:r>
        <w:rPr>
          <w:rFonts w:hint="eastAsia" w:eastAsia="微软雅黑"/>
          <w:szCs w:val="20"/>
        </w:rPr>
        <w:t xml:space="preserve"> additional inter-TRP delay difference after the pre-compensation.</w:t>
      </w:r>
    </w:p>
    <w:p>
      <w:pPr>
        <w:spacing w:after="120"/>
        <w:rPr>
          <w:i/>
          <w:iCs/>
        </w:rPr>
      </w:pPr>
      <w:r>
        <w:rPr>
          <w:rFonts w:hint="eastAsia"/>
          <w:b/>
          <w:bCs/>
          <w:i/>
          <w:iCs/>
        </w:rPr>
        <w:t>Proposal 1</w:t>
      </w:r>
      <w:r>
        <w:rPr>
          <w:b/>
          <w:bCs/>
          <w:i/>
          <w:iCs/>
        </w:rPr>
        <w:t>6</w:t>
      </w:r>
      <w:r>
        <w:rPr>
          <w:rFonts w:hint="eastAsia"/>
          <w:b/>
          <w:bCs/>
          <w:i/>
          <w:iCs/>
        </w:rPr>
        <w:t xml:space="preserve">: </w:t>
      </w:r>
      <w:r>
        <w:rPr>
          <w:rFonts w:hint="eastAsia"/>
          <w:i/>
          <w:iCs/>
        </w:rPr>
        <w:t>Support refining Rel-18 CJT CSI/CQI by a new hypothesis of TRP-specific time misalignment pre-compensation.</w:t>
      </w:r>
    </w:p>
    <w:p>
      <w:pPr>
        <w:numPr>
          <w:ilvl w:val="0"/>
          <w:numId w:val="13"/>
        </w:numPr>
        <w:snapToGrid w:val="0"/>
        <w:spacing w:before="120" w:beforeLines="50" w:after="120" w:afterLines="50" w:line="300" w:lineRule="auto"/>
        <w:rPr>
          <w:rFonts w:eastAsia="微软雅黑"/>
          <w:i/>
          <w:iCs/>
          <w:szCs w:val="20"/>
        </w:rPr>
      </w:pPr>
      <w:r>
        <w:rPr>
          <w:rFonts w:hint="eastAsia" w:eastAsia="微软雅黑"/>
          <w:i/>
          <w:iCs/>
          <w:szCs w:val="20"/>
        </w:rPr>
        <w:t xml:space="preserve">Note: UE measures CJT CSI/CQI through normal CMR(s) without TRP-specific time misalignment pre-compensation, but assuming </w:t>
      </w:r>
      <w:bookmarkStart w:id="25" w:name="OLE_LINK7"/>
      <w:r>
        <w:rPr>
          <w:rFonts w:hint="eastAsia" w:eastAsia="微软雅黑"/>
          <w:i/>
          <w:iCs/>
          <w:szCs w:val="20"/>
        </w:rPr>
        <w:t>TRP-specific time misalignment pre</w:t>
      </w:r>
      <w:r>
        <w:rPr>
          <w:rFonts w:eastAsia="微软雅黑"/>
          <w:i/>
          <w:iCs/>
          <w:szCs w:val="20"/>
        </w:rPr>
        <w:t>-</w:t>
      </w:r>
      <w:r>
        <w:rPr>
          <w:rFonts w:hint="eastAsia" w:eastAsia="微软雅黑"/>
          <w:i/>
          <w:iCs/>
          <w:szCs w:val="20"/>
        </w:rPr>
        <w:t>compensation for PDSCH reception</w:t>
      </w:r>
      <w:bookmarkEnd w:id="25"/>
      <w:r>
        <w:rPr>
          <w:rFonts w:hint="eastAsia" w:eastAsia="微软雅黑"/>
          <w:i/>
          <w:iCs/>
          <w:szCs w:val="20"/>
        </w:rPr>
        <w:t>.</w:t>
      </w:r>
    </w:p>
    <w:p>
      <w:pPr>
        <w:tabs>
          <w:tab w:val="left" w:pos="420"/>
        </w:tabs>
        <w:snapToGrid w:val="0"/>
        <w:spacing w:before="120" w:beforeLines="50" w:after="120" w:afterLines="50" w:line="300" w:lineRule="auto"/>
        <w:rPr>
          <w:rFonts w:eastAsia="微软雅黑"/>
          <w:szCs w:val="20"/>
        </w:rPr>
      </w:pPr>
      <w:r>
        <w:rPr>
          <w:rFonts w:hint="eastAsia" w:eastAsia="微软雅黑"/>
          <w:szCs w:val="20"/>
        </w:rPr>
        <w:t>Moreover, in m-TRP CJT, to ensure that the UE can receive the PDSCH with correct QCL information, the pre-compensation of time/frequency misalignment should be reflected in the indicated TCI states.</w:t>
      </w:r>
    </w:p>
    <w:p>
      <w:pPr>
        <w:numPr>
          <w:ilvl w:val="0"/>
          <w:numId w:val="13"/>
        </w:numPr>
        <w:snapToGrid w:val="0"/>
        <w:spacing w:before="120" w:beforeLines="50" w:after="120" w:afterLines="50" w:line="300" w:lineRule="auto"/>
        <w:rPr>
          <w:rFonts w:eastAsia="微软雅黑"/>
          <w:i/>
          <w:iCs/>
          <w:szCs w:val="20"/>
        </w:rPr>
      </w:pPr>
      <w:r>
        <w:rPr>
          <w:rFonts w:hint="eastAsia" w:eastAsia="微软雅黑"/>
          <w:szCs w:val="20"/>
        </w:rPr>
        <w:t xml:space="preserve">To indicate that only the frequency misalignment is pre-compensated, the legacy TCI indication scheme for </w:t>
      </w:r>
      <w:r>
        <w:rPr>
          <w:rFonts w:eastAsia="微软雅黑"/>
          <w:szCs w:val="20"/>
        </w:rPr>
        <w:t>‘</w:t>
      </w:r>
      <w:r>
        <w:rPr>
          <w:rFonts w:hint="eastAsia" w:eastAsia="微软雅黑"/>
          <w:szCs w:val="20"/>
        </w:rPr>
        <w:t>SFN scheme B</w:t>
      </w:r>
      <w:r>
        <w:rPr>
          <w:rFonts w:eastAsia="微软雅黑"/>
          <w:szCs w:val="20"/>
        </w:rPr>
        <w:t>’</w:t>
      </w:r>
      <w:r>
        <w:rPr>
          <w:rFonts w:hint="eastAsia" w:eastAsia="微软雅黑"/>
          <w:szCs w:val="20"/>
        </w:rPr>
        <w:t xml:space="preserve"> can be reused. In other words, two TCI states (QCL-TypeA + QCL-TypeA) can be indicated, the UE shall assume that the DM-RS port(s) of the PDSCH is quasi co-located with the DL-RSs of the two TCI states except for quasi co-location parameters {Doppler shift, Doppler spread} of the second indicated TCI state.</w:t>
      </w:r>
    </w:p>
    <w:p>
      <w:pPr>
        <w:numPr>
          <w:ilvl w:val="0"/>
          <w:numId w:val="13"/>
        </w:numPr>
        <w:snapToGrid w:val="0"/>
        <w:spacing w:before="120" w:beforeLines="50" w:after="120" w:afterLines="50" w:line="300" w:lineRule="auto"/>
        <w:rPr>
          <w:rFonts w:eastAsia="微软雅黑"/>
          <w:i/>
          <w:iCs/>
          <w:szCs w:val="20"/>
        </w:rPr>
      </w:pPr>
      <w:r>
        <w:rPr>
          <w:rFonts w:hint="eastAsia" w:eastAsia="微软雅黑"/>
          <w:szCs w:val="20"/>
        </w:rPr>
        <w:t>To indicate that only the time misalignment is pre-compensated, two TCI states (QCL-TypeA + QCL-TypeB) can be indicated, the DM-RS port(s) of the PDSCH is quasi co-located with the DL-RSs of the QCL-TypeA TCI state for quasi co-location parameters {Doppler shift, Doppler spread, Delay, Delay spread}, and quasi co-located with the DL-RSs of the QCL-TypeB TCI state for quasi co-location parameters {Doppler shift, Doppler spread}.</w:t>
      </w:r>
    </w:p>
    <w:p>
      <w:pPr>
        <w:tabs>
          <w:tab w:val="left" w:pos="420"/>
        </w:tabs>
        <w:snapToGrid w:val="0"/>
        <w:spacing w:before="120" w:beforeLines="50" w:after="120" w:afterLines="50" w:line="300" w:lineRule="auto"/>
        <w:rPr>
          <w:rFonts w:eastAsia="微软雅黑"/>
          <w:i/>
          <w:iCs/>
          <w:szCs w:val="20"/>
        </w:rPr>
      </w:pPr>
      <w:bookmarkStart w:id="26" w:name="OLE_LINK6"/>
      <w:r>
        <w:rPr>
          <w:rFonts w:eastAsia="微软雅黑"/>
          <w:b/>
          <w:bCs/>
          <w:i/>
          <w:iCs/>
          <w:szCs w:val="20"/>
        </w:rPr>
        <w:t xml:space="preserve">Proposal </w:t>
      </w:r>
      <w:r>
        <w:rPr>
          <w:rFonts w:hint="eastAsia" w:eastAsia="微软雅黑"/>
          <w:b/>
          <w:bCs/>
          <w:i/>
          <w:iCs/>
          <w:szCs w:val="20"/>
        </w:rPr>
        <w:t>1</w:t>
      </w:r>
      <w:r>
        <w:rPr>
          <w:rFonts w:eastAsia="微软雅黑"/>
          <w:b/>
          <w:bCs/>
          <w:i/>
          <w:iCs/>
          <w:szCs w:val="20"/>
        </w:rPr>
        <w:t>7:</w:t>
      </w:r>
      <w:r>
        <w:rPr>
          <w:rFonts w:eastAsia="微软雅黑"/>
          <w:i/>
          <w:iCs/>
          <w:szCs w:val="20"/>
        </w:rPr>
        <w:t xml:space="preserve"> </w:t>
      </w:r>
      <w:bookmarkEnd w:id="26"/>
      <w:r>
        <w:rPr>
          <w:rFonts w:hint="eastAsia" w:eastAsia="微软雅黑"/>
          <w:i/>
          <w:iCs/>
          <w:szCs w:val="20"/>
        </w:rPr>
        <w:t>Regarding TCI state(s) indication for CJT with pre-compensation of inter-TRP time/frequency misalignment, support</w:t>
      </w:r>
      <w:r>
        <w:rPr>
          <w:rFonts w:eastAsia="微软雅黑"/>
          <w:i/>
          <w:iCs/>
          <w:szCs w:val="20"/>
        </w:rPr>
        <w:t xml:space="preserve"> indicating two TCI states (QCL-TypeA + QCL-TypeB) for PDSCH </w:t>
      </w:r>
      <w:r>
        <w:rPr>
          <w:rFonts w:hint="eastAsia" w:eastAsia="微软雅黑"/>
          <w:i/>
          <w:iCs/>
          <w:szCs w:val="20"/>
        </w:rPr>
        <w:t>reception</w:t>
      </w:r>
      <w:r>
        <w:rPr>
          <w:rFonts w:eastAsia="微软雅黑"/>
          <w:i/>
          <w:iCs/>
          <w:szCs w:val="20"/>
        </w:rPr>
        <w:t>.</w:t>
      </w:r>
    </w:p>
    <w:p>
      <w:pPr>
        <w:numPr>
          <w:ilvl w:val="0"/>
          <w:numId w:val="13"/>
        </w:numPr>
        <w:snapToGrid w:val="0"/>
        <w:spacing w:before="120" w:beforeLines="50" w:after="120" w:afterLines="50" w:line="300" w:lineRule="auto"/>
        <w:rPr>
          <w:rFonts w:eastAsia="微软雅黑"/>
          <w:i/>
          <w:iCs/>
          <w:szCs w:val="20"/>
        </w:rPr>
      </w:pPr>
      <w:r>
        <w:rPr>
          <w:rFonts w:hint="eastAsia" w:eastAsia="微软雅黑"/>
          <w:i/>
          <w:iCs/>
          <w:szCs w:val="20"/>
        </w:rPr>
        <w:t>Note: it implies that the</w:t>
      </w:r>
      <w:r>
        <w:rPr>
          <w:rFonts w:eastAsia="微软雅黑"/>
          <w:i/>
          <w:iCs/>
          <w:szCs w:val="20"/>
        </w:rPr>
        <w:t xml:space="preserve"> time misalignment</w:t>
      </w:r>
      <w:r>
        <w:rPr>
          <w:rFonts w:hint="eastAsia" w:eastAsia="微软雅黑"/>
          <w:i/>
          <w:iCs/>
          <w:szCs w:val="20"/>
        </w:rPr>
        <w:t xml:space="preserve"> is</w:t>
      </w:r>
      <w:r>
        <w:rPr>
          <w:rFonts w:eastAsia="微软雅黑"/>
          <w:i/>
          <w:iCs/>
          <w:szCs w:val="20"/>
        </w:rPr>
        <w:t xml:space="preserve"> pre-compensat</w:t>
      </w:r>
      <w:r>
        <w:rPr>
          <w:rFonts w:hint="eastAsia" w:eastAsia="微软雅黑"/>
          <w:i/>
          <w:iCs/>
          <w:szCs w:val="20"/>
        </w:rPr>
        <w:t>ed</w:t>
      </w:r>
      <w:r>
        <w:rPr>
          <w:rFonts w:eastAsia="微软雅黑"/>
          <w:i/>
          <w:iCs/>
          <w:szCs w:val="20"/>
        </w:rPr>
        <w:t xml:space="preserve"> for PDSCH reception.</w:t>
      </w:r>
    </w:p>
    <w:p>
      <w:pPr>
        <w:keepNext/>
        <w:widowControl w:val="0"/>
        <w:numPr>
          <w:ilvl w:val="0"/>
          <w:numId w:val="8"/>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pPr>
        <w:snapToGrid w:val="0"/>
        <w:spacing w:before="120" w:beforeLines="50" w:after="120" w:afterLines="50" w:line="300" w:lineRule="auto"/>
        <w:rPr>
          <w:bCs/>
          <w:iCs/>
          <w:szCs w:val="20"/>
        </w:rPr>
      </w:pPr>
      <w:r>
        <w:rPr>
          <w:rFonts w:hint="eastAsia"/>
          <w:bCs/>
          <w:iCs/>
          <w:szCs w:val="20"/>
        </w:rPr>
        <w:t>In summary, we have the following observations and proposals for CSI enhancement for up to 128 CSI-RS ports on FR1:</w:t>
      </w:r>
    </w:p>
    <w:p>
      <w:pPr>
        <w:snapToGrid w:val="0"/>
        <w:spacing w:before="72" w:beforeLines="30" w:after="72" w:afterLines="30" w:line="300" w:lineRule="auto"/>
        <w:rPr>
          <w:rFonts w:eastAsia="微软雅黑"/>
          <w:i/>
          <w:iCs/>
          <w:szCs w:val="20"/>
        </w:rPr>
      </w:pPr>
      <w:r>
        <w:rPr>
          <w:rFonts w:hint="eastAsia"/>
          <w:b/>
          <w:i/>
        </w:rPr>
        <w:t>Observation 1:</w:t>
      </w:r>
      <w:r>
        <w:rPr>
          <w:rFonts w:hint="eastAsia"/>
          <w:bCs/>
          <w:i/>
        </w:rPr>
        <w:t xml:space="preserve"> When the number of antenna ports is larger than 32,</w:t>
      </w:r>
      <w:r>
        <w:rPr>
          <w:rFonts w:hint="eastAsia"/>
          <w:b/>
          <w:i/>
        </w:rPr>
        <w:t xml:space="preserve">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hAnsi="Cambria Math"/>
          <w:i/>
          <w:iCs/>
        </w:rPr>
        <w:t xml:space="preserve"> = (2, 2)</w:t>
      </w:r>
      <w:r>
        <w:rPr>
          <w:rFonts w:hint="eastAsia" w:eastAsia="微软雅黑"/>
          <w:i/>
          <w:iCs/>
          <w:szCs w:val="20"/>
        </w:rPr>
        <w:t xml:space="preserve"> and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hAnsi="Cambria Math"/>
          <w:i/>
          <w:iCs/>
        </w:rPr>
        <w:t xml:space="preserve"> = (4, 4</w:t>
      </w:r>
      <w:r>
        <w:rPr>
          <w:rFonts w:hAnsi="Cambria Math"/>
          <w:i/>
          <w:iCs/>
        </w:rPr>
        <w:t>)</w:t>
      </w:r>
      <w:r>
        <w:rPr>
          <w:rFonts w:eastAsia="微软雅黑"/>
          <w:i/>
          <w:iCs/>
          <w:szCs w:val="20"/>
        </w:rPr>
        <w:t xml:space="preserve"> </w:t>
      </w:r>
      <w:r>
        <w:rPr>
          <w:i/>
          <w:iCs/>
        </w:rPr>
        <w:t>provide</w:t>
      </w:r>
      <w:r>
        <w:rPr>
          <w:rFonts w:eastAsia="微软雅黑"/>
          <w:i/>
          <w:iCs/>
          <w:szCs w:val="20"/>
        </w:rPr>
        <w:t xml:space="preserve"> </w:t>
      </w:r>
      <w:r>
        <w:rPr>
          <w:rFonts w:hint="eastAsia" w:eastAsia="微软雅黑"/>
          <w:i/>
          <w:iCs/>
          <w:szCs w:val="20"/>
        </w:rPr>
        <w:t>similar performance.</w:t>
      </w:r>
    </w:p>
    <w:p>
      <w:pPr>
        <w:snapToGrid w:val="0"/>
        <w:spacing w:before="72" w:beforeLines="30" w:after="72" w:afterLines="30"/>
        <w:textAlignment w:val="baseline"/>
        <w:rPr>
          <w:i/>
          <w:iCs/>
        </w:rPr>
      </w:pPr>
      <w:r>
        <w:rPr>
          <w:rFonts w:hint="eastAsia"/>
          <w:b/>
          <w:bCs/>
          <w:i/>
          <w:iCs/>
        </w:rPr>
        <w:t xml:space="preserve">Observation </w:t>
      </w:r>
      <w:r>
        <w:rPr>
          <w:b/>
          <w:bCs/>
          <w:i/>
          <w:iCs/>
        </w:rPr>
        <w:t>2</w:t>
      </w:r>
      <w:r>
        <w:rPr>
          <w:rFonts w:hint="eastAsia"/>
          <w:b/>
          <w:bCs/>
          <w:i/>
          <w:iCs/>
        </w:rPr>
        <w:t>:</w:t>
      </w:r>
      <w:r>
        <w:rPr>
          <w:rFonts w:hint="eastAsia"/>
          <w:i/>
          <w:iCs/>
        </w:rPr>
        <w:t xml:space="preserve"> Significant throughput gain can be obtained by maintaining the Rel-15 Type-I codebook structure and directly increasing the number of antenna ports.</w:t>
      </w:r>
    </w:p>
    <w:p>
      <w:pPr>
        <w:snapToGrid w:val="0"/>
        <w:spacing w:before="72" w:beforeLines="30" w:after="72" w:afterLines="30" w:line="300" w:lineRule="auto"/>
        <w:textAlignment w:val="center"/>
        <w:rPr>
          <w:i/>
          <w:iCs/>
        </w:rPr>
      </w:pPr>
      <w:r>
        <w:rPr>
          <w:rFonts w:hint="eastAsia"/>
          <w:b/>
          <w:bCs/>
          <w:i/>
          <w:iCs/>
        </w:rPr>
        <w:t xml:space="preserve">Observation </w:t>
      </w:r>
      <w:r>
        <w:rPr>
          <w:b/>
          <w:bCs/>
          <w:i/>
          <w:iCs/>
        </w:rPr>
        <w:t>3</w:t>
      </w:r>
      <w:r>
        <w:rPr>
          <w:rFonts w:hint="eastAsia"/>
          <w:b/>
          <w:bCs/>
          <w:i/>
          <w:iCs/>
        </w:rPr>
        <w:t>:</w:t>
      </w:r>
      <w:r>
        <w:rPr>
          <w:rFonts w:hint="eastAsia"/>
          <w:i/>
          <w:iCs/>
        </w:rPr>
        <w:t xml:space="preserve"> In MU-MIMO scenario, the enhanced Type-I codebook (linear combination codebook) can provide huge throughput gain for cell-edge UEs and significant throughput gain in average compared to Type-I codebook.</w:t>
      </w:r>
    </w:p>
    <w:p>
      <w:pPr>
        <w:spacing w:before="120"/>
        <w:rPr>
          <w:iCs/>
        </w:rPr>
      </w:pPr>
      <w:r>
        <w:rPr>
          <w:b/>
          <w:bCs/>
          <w:i/>
        </w:rPr>
        <w:t>Observation 4:</w:t>
      </w:r>
      <w:r>
        <w:rPr>
          <w:i/>
        </w:rPr>
        <w:t xml:space="preserve"> </w:t>
      </w:r>
      <w:r>
        <w:rPr>
          <w:rFonts w:hint="eastAsia"/>
          <w:i/>
        </w:rPr>
        <w:t xml:space="preserve">The performance of eType-II codebook can be significantly improved by maintaining the legacy codebook structure and directly increasing the number of antenna ports. </w:t>
      </w:r>
    </w:p>
    <w:p>
      <w:pPr>
        <w:spacing w:before="120"/>
        <w:rPr>
          <w:i/>
        </w:rPr>
      </w:pPr>
      <w:r>
        <w:rPr>
          <w:b/>
          <w:bCs/>
          <w:i/>
        </w:rPr>
        <w:t>Observation 5:</w:t>
      </w:r>
      <w:r>
        <w:rPr>
          <w:i/>
        </w:rPr>
        <w:t xml:space="preserve"> </w:t>
      </w:r>
      <w:r>
        <w:rPr>
          <w:rFonts w:hint="eastAsia"/>
          <w:i/>
        </w:rPr>
        <w:t xml:space="preserve">Regarding the number of CSI reports N in CRIs-based CSI </w:t>
      </w:r>
      <w:r>
        <w:rPr>
          <w:i/>
        </w:rPr>
        <w:t>reporting</w:t>
      </w:r>
      <w:r>
        <w:rPr>
          <w:rFonts w:hint="eastAsia"/>
          <w:i/>
        </w:rPr>
        <w:t>, N = 2 is superior to N = 1 (legacy) and N = 4 with better DL transmission performance.</w:t>
      </w:r>
    </w:p>
    <w:p>
      <w:pPr>
        <w:rPr>
          <w:i/>
          <w:iCs/>
        </w:rPr>
      </w:pPr>
      <w:r>
        <w:rPr>
          <w:b/>
          <w:bCs/>
          <w:i/>
          <w:iCs/>
        </w:rPr>
        <w:t xml:space="preserve">Proposal </w:t>
      </w:r>
      <w:r>
        <w:rPr>
          <w:rFonts w:hint="eastAsia"/>
          <w:b/>
          <w:bCs/>
          <w:i/>
          <w:iCs/>
        </w:rPr>
        <w:t>1:</w:t>
      </w:r>
      <w:r>
        <w:rPr>
          <w:rFonts w:hint="eastAsia"/>
          <w:i/>
          <w:iCs/>
        </w:rPr>
        <w:t xml:space="preserve"> Regarding Rel-19 Type-I/Type-II codebook </w:t>
      </w:r>
      <w:r>
        <w:rPr>
          <w:i/>
          <w:iCs/>
        </w:rPr>
        <w:t>refinement</w:t>
      </w:r>
      <w:r>
        <w:rPr>
          <w:rFonts w:hint="eastAsia"/>
          <w:i/>
          <w:iCs/>
        </w:rPr>
        <w:t xml:space="preserve">, support the following configurations of </w:t>
      </w:r>
      <m:oMath>
        <m:d>
          <m:dPr>
            <m:ctrlPr>
              <w:rPr>
                <w:rFonts w:ascii="Cambria Math" w:hAnsi="Cambria Math"/>
                <w:i/>
                <w:iCs/>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i/>
          <w:iCs/>
        </w:rPr>
        <w:t xml:space="preserve"> when the number of antenna ports is larger than 32:</w:t>
      </w:r>
    </w:p>
    <w:p>
      <w:pPr>
        <w:numPr>
          <w:ilvl w:val="0"/>
          <w:numId w:val="10"/>
        </w:numPr>
        <w:snapToGrid w:val="0"/>
        <w:spacing w:before="120" w:beforeLines="50" w:after="120" w:afterLines="50" w:line="300" w:lineRule="auto"/>
        <w:rPr>
          <w:i/>
          <w:iCs/>
        </w:rPr>
      </w:pPr>
      <m:oMath>
        <m:d>
          <m:dPr>
            <m:ctrlPr>
              <w:rPr>
                <w:rFonts w:ascii="Cambria Math" w:hAnsi="Cambria Math"/>
                <w:i/>
                <w:iCs/>
              </w:rPr>
            </m:ctrlPr>
          </m:dPr>
          <m:e>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1</m:t>
                </m:r>
                <m:ctrlPr>
                  <w:rPr>
                    <w:rFonts w:ascii="Cambria Math" w:hAnsi="Cambria Math"/>
                    <w:i/>
                    <w:iCs/>
                  </w:rPr>
                </m:ctrlPr>
              </m:sub>
            </m:sSub>
            <m:r>
              <m:rPr/>
              <w:rPr>
                <w:rFonts w:ascii="Cambria Math" w:hAnsi="Cambria Math"/>
              </w:rPr>
              <m:t xml:space="preserve">, </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d>
      </m:oMath>
      <w:r>
        <w:rPr>
          <w:rFonts w:hint="eastAsia" w:hAnsi="Cambria Math"/>
          <w:i/>
          <w:iCs/>
        </w:rPr>
        <w:t xml:space="preserve"> = (8, 8), (8, 6), (8, 4), (12, 4), (12, 2), (16, 4), (16, 2)</w:t>
      </w:r>
      <w:r>
        <w:rPr>
          <w:rFonts w:hint="eastAsia"/>
          <w:i/>
          <w:iCs/>
        </w:rPr>
        <w:t>.</w:t>
      </w:r>
    </w:p>
    <w:p>
      <w:pPr>
        <w:snapToGrid w:val="0"/>
        <w:spacing w:before="72" w:beforeLines="30" w:after="72" w:afterLines="30" w:line="300" w:lineRule="auto"/>
        <w:rPr>
          <w:i/>
        </w:rPr>
      </w:pPr>
      <w:r>
        <w:rPr>
          <w:b/>
          <w:i/>
        </w:rPr>
        <w:t xml:space="preserve">Proposal </w:t>
      </w:r>
      <w:r>
        <w:rPr>
          <w:rFonts w:hint="eastAsia"/>
          <w:b/>
          <w:i/>
        </w:rPr>
        <w:t xml:space="preserve">2: </w:t>
      </w:r>
      <w:r>
        <w:rPr>
          <w:rFonts w:hint="eastAsia"/>
          <w:bCs/>
          <w:i/>
        </w:rPr>
        <w:t>Regarding Rel-19 Type-I/eType-II codebook refinement,</w:t>
      </w:r>
      <w:r>
        <w:rPr>
          <w:rFonts w:hint="eastAsia"/>
          <w:b/>
          <w:i/>
        </w:rPr>
        <w:t xml:space="preserve"> </w:t>
      </w:r>
      <w:r>
        <w:rPr>
          <w:rFonts w:hint="eastAsia"/>
          <w:i/>
        </w:rPr>
        <w:t xml:space="preserve">support decreased oversampling factors, e.g., </w:t>
      </w:r>
      <m:oMath>
        <m:d>
          <m:dPr>
            <m:ctrlPr>
              <w:rPr>
                <w:rFonts w:ascii="Cambria Math" w:hAnsi="Cambria Math"/>
                <w:bCs/>
                <w:i/>
                <w:color w:val="000000"/>
              </w:rPr>
            </m:ctrlPr>
          </m:dPr>
          <m:e>
            <m:sSub>
              <m:sSubPr>
                <m:ctrlPr>
                  <w:rPr>
                    <w:rFonts w:ascii="Cambria Math" w:hAnsi="Cambria Math"/>
                    <w:bCs/>
                    <w:i/>
                    <w:color w:val="000000"/>
                  </w:rPr>
                </m:ctrlPr>
              </m:sSubPr>
              <m:e>
                <m:r>
                  <m:rPr/>
                  <w:rPr>
                    <w:rFonts w:ascii="Cambria Math" w:hAnsi="Cambria Math"/>
                    <w:color w:val="000000"/>
                  </w:rPr>
                  <m:t>O</m:t>
                </m:r>
                <m:ctrlPr>
                  <w:rPr>
                    <w:rFonts w:ascii="Cambria Math" w:hAnsi="Cambria Math"/>
                    <w:bCs/>
                    <w:i/>
                    <w:color w:val="000000"/>
                  </w:rPr>
                </m:ctrlPr>
              </m:e>
              <m:sub>
                <m:r>
                  <m:rPr/>
                  <w:rPr>
                    <w:rFonts w:ascii="Cambria Math" w:hAnsi="Cambria Math"/>
                    <w:color w:val="000000"/>
                  </w:rPr>
                  <m:t>1</m:t>
                </m:r>
                <m:ctrlPr>
                  <w:rPr>
                    <w:rFonts w:ascii="Cambria Math" w:hAnsi="Cambria Math"/>
                    <w:bCs/>
                    <w:i/>
                    <w:color w:val="000000"/>
                  </w:rPr>
                </m:ctrlPr>
              </m:sub>
            </m:sSub>
            <m:r>
              <m:rPr/>
              <w:rPr>
                <w:rFonts w:ascii="Cambria Math" w:hAnsi="Cambria Math"/>
                <w:color w:val="000000"/>
              </w:rPr>
              <m:t xml:space="preserve">, </m:t>
            </m:r>
            <m:sSub>
              <m:sSubPr>
                <m:ctrlPr>
                  <w:rPr>
                    <w:rFonts w:ascii="Cambria Math" w:hAnsi="Cambria Math"/>
                    <w:bCs/>
                    <w:i/>
                    <w:color w:val="000000"/>
                  </w:rPr>
                </m:ctrlPr>
              </m:sSubPr>
              <m:e>
                <m:r>
                  <m:rPr/>
                  <w:rPr>
                    <w:rFonts w:ascii="Cambria Math" w:hAnsi="Cambria Math"/>
                    <w:color w:val="000000"/>
                  </w:rPr>
                  <m:t>O</m:t>
                </m:r>
                <m:ctrlPr>
                  <w:rPr>
                    <w:rFonts w:ascii="Cambria Math" w:hAnsi="Cambria Math"/>
                    <w:bCs/>
                    <w:i/>
                    <w:color w:val="000000"/>
                  </w:rPr>
                </m:ctrlPr>
              </m:e>
              <m:sub>
                <m:r>
                  <m:rPr/>
                  <w:rPr>
                    <w:rFonts w:ascii="Cambria Math" w:hAnsi="Cambria Math"/>
                    <w:color w:val="000000"/>
                  </w:rPr>
                  <m:t>2</m:t>
                </m:r>
                <m:ctrlPr>
                  <w:rPr>
                    <w:rFonts w:ascii="Cambria Math" w:hAnsi="Cambria Math"/>
                    <w:bCs/>
                    <w:i/>
                    <w:color w:val="000000"/>
                  </w:rPr>
                </m:ctrlPr>
              </m:sub>
            </m:sSub>
            <m:ctrlPr>
              <w:rPr>
                <w:rFonts w:ascii="Cambria Math" w:hAnsi="Cambria Math"/>
                <w:bCs/>
                <w:i/>
                <w:color w:val="000000"/>
              </w:rPr>
            </m:ctrlPr>
          </m:e>
        </m:d>
        <m:r>
          <m:rPr/>
          <w:rPr>
            <w:rFonts w:ascii="Cambria Math" w:hAnsi="Cambria Math"/>
            <w:color w:val="000000"/>
          </w:rPr>
          <m:t>=</m:t>
        </m:r>
        <m:d>
          <m:dPr>
            <m:ctrlPr>
              <w:rPr>
                <w:rFonts w:ascii="Cambria Math" w:hAnsi="Cambria Math"/>
                <w:bCs/>
                <w:i/>
                <w:color w:val="000000"/>
              </w:rPr>
            </m:ctrlPr>
          </m:dPr>
          <m:e>
            <m:r>
              <m:rPr/>
              <w:rPr>
                <w:rFonts w:ascii="Cambria Math" w:hAnsi="Cambria Math"/>
                <w:color w:val="000000"/>
              </w:rPr>
              <m:t>2, 2</m:t>
            </m:r>
            <m:ctrlPr>
              <w:rPr>
                <w:rFonts w:ascii="Cambria Math" w:hAnsi="Cambria Math"/>
                <w:bCs/>
                <w:i/>
                <w:color w:val="000000"/>
              </w:rPr>
            </m:ctrlPr>
          </m:e>
        </m:d>
      </m:oMath>
      <w:r>
        <w:rPr>
          <w:rFonts w:hint="eastAsia" w:hAnsi="Cambria Math"/>
          <w:bCs/>
          <w:i/>
          <w:color w:val="000000"/>
        </w:rPr>
        <w:t>,</w:t>
      </w:r>
      <w:r>
        <w:rPr>
          <w:rFonts w:hint="eastAsia"/>
          <w:i/>
        </w:rPr>
        <w:t xml:space="preserve"> when the number of antenna ports is larger than 32.</w:t>
      </w:r>
    </w:p>
    <w:p>
      <w:pPr>
        <w:snapToGrid w:val="0"/>
        <w:spacing w:before="72" w:beforeLines="30" w:after="72" w:afterLines="30" w:line="300" w:lineRule="auto"/>
        <w:textAlignment w:val="center"/>
        <w:rPr>
          <w:i/>
        </w:rPr>
      </w:pPr>
      <w:r>
        <w:rPr>
          <w:b/>
          <w:i/>
        </w:rPr>
        <w:t xml:space="preserve">Proposal </w:t>
      </w:r>
      <w:r>
        <w:rPr>
          <w:rFonts w:hint="eastAsia"/>
          <w:b/>
          <w:i/>
        </w:rPr>
        <w:t>3:</w:t>
      </w:r>
      <w:r>
        <w:rPr>
          <w:rFonts w:hint="eastAsia"/>
          <w:bCs/>
          <w:i/>
        </w:rPr>
        <w:t xml:space="preserve"> Regarding Rel-19 Type-I/Type-II codebook refinement, the </w:t>
      </w:r>
      <w:r>
        <w:rPr>
          <w:rFonts w:hint="eastAsia"/>
          <w:i/>
        </w:rPr>
        <w:t>Rel-18 CSI-RS resource configuration can be considered as a baseline, i.e.</w:t>
      </w:r>
      <w:r>
        <w:rPr>
          <w:i/>
        </w:rPr>
        <w:t>,</w:t>
      </w:r>
    </w:p>
    <w:p>
      <w:pPr>
        <w:numPr>
          <w:ilvl w:val="0"/>
          <w:numId w:val="10"/>
        </w:numPr>
        <w:snapToGrid w:val="0"/>
        <w:spacing w:before="120" w:beforeLines="50" w:after="120" w:afterLines="50" w:line="300" w:lineRule="auto"/>
        <w:rPr>
          <w:i/>
          <w:iCs/>
        </w:rPr>
      </w:pPr>
      <w:r>
        <w:rPr>
          <w:rFonts w:hint="eastAsia" w:hAnsi="Cambria Math"/>
          <w:i/>
        </w:rPr>
        <w:t xml:space="preserve">Up to 4 </w:t>
      </w:r>
      <w:r>
        <w:rPr>
          <w:rFonts w:hint="eastAsia"/>
          <w:i/>
          <w:iCs/>
          <w:color w:val="000000"/>
        </w:rPr>
        <w:t xml:space="preserve">CSI-RS resources for channel measurement </w:t>
      </w:r>
      <w:r>
        <w:rPr>
          <w:rFonts w:hint="eastAsia"/>
        </w:rPr>
        <w:t xml:space="preserve">can </w:t>
      </w:r>
      <w:r>
        <w:rPr>
          <w:rFonts w:hint="eastAsia"/>
          <w:i/>
          <w:iCs/>
          <w:color w:val="000000"/>
        </w:rPr>
        <w:t>be configured in a CSI-RS resource set, each resource shall contain at most 32 CSI-RS ports;</w:t>
      </w:r>
    </w:p>
    <w:p>
      <w:pPr>
        <w:numPr>
          <w:ilvl w:val="0"/>
          <w:numId w:val="10"/>
        </w:numPr>
        <w:snapToGrid w:val="0"/>
        <w:spacing w:before="120" w:beforeLines="50" w:after="120" w:afterLines="50" w:line="300" w:lineRule="auto"/>
      </w:pPr>
      <w:r>
        <w:rPr>
          <w:rFonts w:hint="eastAsia"/>
          <w:i/>
          <w:iCs/>
        </w:rPr>
        <w:t>All the resources in the resource set shall contain a same number of CSI-RS ports.</w:t>
      </w:r>
    </w:p>
    <w:p>
      <w:pPr>
        <w:snapToGrid w:val="0"/>
        <w:spacing w:before="72" w:beforeLines="30" w:after="72" w:afterLines="30" w:line="300" w:lineRule="auto"/>
        <w:textAlignment w:val="center"/>
        <w:rPr>
          <w:szCs w:val="20"/>
        </w:rPr>
      </w:pPr>
      <w:r>
        <w:rPr>
          <w:b/>
          <w:i/>
        </w:rPr>
        <w:t>Proposal 4</w:t>
      </w:r>
      <w:r>
        <w:rPr>
          <w:rFonts w:hint="eastAsia"/>
          <w:b/>
          <w:i/>
        </w:rPr>
        <w:t xml:space="preserve">: </w:t>
      </w:r>
      <w:r>
        <w:rPr>
          <w:rFonts w:hint="eastAsia"/>
          <w:bCs/>
          <w:i/>
        </w:rPr>
        <w:t xml:space="preserve">Regarding Rel-19 Type-I/Type-II codebook refinement, </w:t>
      </w:r>
      <w:r>
        <w:rPr>
          <w:rFonts w:hint="eastAsia"/>
          <w:i/>
        </w:rPr>
        <w:t>introduce mapping between CSI-RS ports across multiple CSI-RS resources to antenna ports for Type-I/Type-II codebook refinement.</w:t>
      </w:r>
    </w:p>
    <w:p>
      <w:pPr>
        <w:snapToGrid w:val="0"/>
        <w:spacing w:before="72" w:beforeLines="30" w:after="72" w:afterLines="30"/>
        <w:textAlignment w:val="baseline"/>
        <w:rPr>
          <w:i/>
          <w:iCs/>
        </w:rPr>
      </w:pPr>
      <w:r>
        <w:rPr>
          <w:rFonts w:hint="eastAsia"/>
          <w:b/>
          <w:bCs/>
          <w:i/>
          <w:iCs/>
        </w:rPr>
        <w:t xml:space="preserve">Proposal </w:t>
      </w:r>
      <w:r>
        <w:rPr>
          <w:b/>
          <w:bCs/>
          <w:i/>
          <w:iCs/>
        </w:rPr>
        <w:t>5</w:t>
      </w:r>
      <w:r>
        <w:rPr>
          <w:rFonts w:hint="eastAsia"/>
          <w:b/>
          <w:bCs/>
          <w:i/>
          <w:iCs/>
        </w:rPr>
        <w:t>:</w:t>
      </w:r>
      <w:r>
        <w:rPr>
          <w:rFonts w:hint="eastAsia"/>
          <w:i/>
          <w:iCs/>
        </w:rPr>
        <w:t xml:space="preserve"> Re</w:t>
      </w:r>
      <w:r>
        <w:rPr>
          <w:i/>
          <w:iCs/>
        </w:rPr>
        <w:t>garding structural codebook based</w:t>
      </w:r>
      <w:r>
        <w:rPr>
          <w:rFonts w:hint="eastAsia"/>
          <w:i/>
          <w:iCs/>
        </w:rPr>
        <w:t xml:space="preserve"> Rel-19</w:t>
      </w:r>
      <w:r>
        <w:rPr>
          <w:i/>
          <w:iCs/>
        </w:rPr>
        <w:t xml:space="preserve"> Type-I </w:t>
      </w:r>
      <w:r>
        <w:rPr>
          <w:rFonts w:hint="eastAsia"/>
          <w:i/>
          <w:iCs/>
        </w:rPr>
        <w:t>codebook refinement</w:t>
      </w:r>
      <w:r>
        <w:rPr>
          <w:i/>
          <w:iCs/>
        </w:rPr>
        <w:t>, the following</w:t>
      </w:r>
      <w:r>
        <w:rPr>
          <w:rFonts w:hint="eastAsia"/>
          <w:i/>
          <w:iCs/>
        </w:rPr>
        <w:t>s</w:t>
      </w:r>
      <w:r>
        <w:rPr>
          <w:i/>
          <w:iCs/>
        </w:rPr>
        <w:t xml:space="preserve"> can be considered</w:t>
      </w:r>
      <w:r>
        <w:rPr>
          <w:rFonts w:hint="eastAsia"/>
          <w:i/>
          <w:iCs/>
        </w:rPr>
        <w:t>:</w:t>
      </w:r>
    </w:p>
    <w:p>
      <w:pPr>
        <w:numPr>
          <w:ilvl w:val="0"/>
          <w:numId w:val="10"/>
        </w:numPr>
        <w:snapToGrid w:val="0"/>
        <w:spacing w:before="120" w:beforeLines="50" w:after="120" w:afterLines="50" w:line="300" w:lineRule="auto"/>
        <w:rPr>
          <w:i/>
          <w:iCs/>
        </w:rPr>
      </w:pPr>
      <w:r>
        <w:rPr>
          <w:rFonts w:hint="eastAsia"/>
          <w:i/>
          <w:iCs/>
        </w:rPr>
        <w:t>Independently wideband SD bases selection for different layers;</w:t>
      </w:r>
    </w:p>
    <w:p>
      <w:pPr>
        <w:numPr>
          <w:ilvl w:val="0"/>
          <w:numId w:val="10"/>
        </w:numPr>
        <w:snapToGrid w:val="0"/>
        <w:spacing w:before="120" w:beforeLines="50" w:after="120" w:afterLines="50" w:line="300" w:lineRule="auto"/>
        <w:rPr>
          <w:rFonts w:eastAsia="微软雅黑"/>
          <w:szCs w:val="20"/>
        </w:rPr>
      </w:pPr>
      <w:r>
        <w:rPr>
          <w:rFonts w:hint="eastAsia"/>
          <w:i/>
          <w:iCs/>
        </w:rPr>
        <w:t>More flexible subband SD basis selection, e.g., support subband SD basis selection for at least rank 1~4, and extend the range of SD basis selection.</w:t>
      </w:r>
    </w:p>
    <w:p>
      <w:pPr>
        <w:snapToGrid w:val="0"/>
        <w:spacing w:before="72" w:beforeLines="30" w:after="72" w:afterLines="30" w:line="300" w:lineRule="auto"/>
        <w:textAlignment w:val="center"/>
        <w:rPr>
          <w:i/>
          <w:iCs/>
        </w:rPr>
      </w:pPr>
      <w:r>
        <w:rPr>
          <w:rFonts w:hint="eastAsia"/>
          <w:b/>
          <w:bCs/>
          <w:i/>
          <w:iCs/>
        </w:rPr>
        <w:t xml:space="preserve">Proposal </w:t>
      </w:r>
      <w:r>
        <w:rPr>
          <w:b/>
          <w:bCs/>
          <w:i/>
          <w:iCs/>
        </w:rPr>
        <w:t>6</w:t>
      </w:r>
      <w:r>
        <w:rPr>
          <w:rFonts w:hint="eastAsia"/>
          <w:b/>
          <w:bCs/>
          <w:i/>
          <w:iCs/>
        </w:rPr>
        <w:t>:</w:t>
      </w:r>
      <w:r>
        <w:rPr>
          <w:rFonts w:hint="eastAsia"/>
          <w:i/>
          <w:iCs/>
        </w:rPr>
        <w:t xml:space="preserve"> Regarding the linear combination codebook based Rel-19 Type-I codebook refinement targeting MU-MIMO, the followings can be considered:</w:t>
      </w:r>
    </w:p>
    <w:p>
      <w:pPr>
        <w:numPr>
          <w:ilvl w:val="0"/>
          <w:numId w:val="10"/>
        </w:numPr>
        <w:snapToGrid w:val="0"/>
        <w:spacing w:before="120" w:beforeLines="50" w:after="120" w:afterLines="50" w:line="300" w:lineRule="auto"/>
        <w:rPr>
          <w:i/>
          <w:iCs/>
        </w:rPr>
      </w:pPr>
      <w:r>
        <w:rPr>
          <w:rFonts w:hint="eastAsia"/>
          <w:i/>
          <w:iCs/>
        </w:rPr>
        <w:t>The precoding matrix of each layer is based on a combination of multiple SD bases, where both the SD bases and the combination coefficients are wideband;</w:t>
      </w:r>
    </w:p>
    <w:p>
      <w:pPr>
        <w:numPr>
          <w:ilvl w:val="0"/>
          <w:numId w:val="10"/>
        </w:numPr>
        <w:snapToGrid w:val="0"/>
        <w:spacing w:before="120" w:beforeLines="50" w:after="120" w:afterLines="50" w:line="300" w:lineRule="auto"/>
        <w:rPr>
          <w:i/>
          <w:iCs/>
        </w:rPr>
      </w:pPr>
      <w:r>
        <w:rPr>
          <w:rFonts w:hint="eastAsia"/>
          <w:i/>
          <w:iCs/>
        </w:rPr>
        <w:t>The two types of polarization share a common set of combination coefficients, and the difference between the two types of polarization is reflected by additional inter-polarization information, e.g., inter-polarization phase.</w:t>
      </w:r>
    </w:p>
    <w:p>
      <w:pPr>
        <w:spacing w:before="120" w:after="120"/>
        <w:rPr>
          <w:i/>
        </w:rPr>
      </w:pPr>
      <w:r>
        <w:rPr>
          <w:rFonts w:hint="eastAsia"/>
          <w:b/>
          <w:bCs/>
          <w:i/>
        </w:rPr>
        <w:t xml:space="preserve">Proposal </w:t>
      </w:r>
      <w:r>
        <w:rPr>
          <w:b/>
          <w:bCs/>
          <w:i/>
        </w:rPr>
        <w:t>7</w:t>
      </w:r>
      <w:r>
        <w:rPr>
          <w:rFonts w:hint="eastAsia"/>
          <w:b/>
          <w:bCs/>
          <w:i/>
        </w:rPr>
        <w:t>:</w:t>
      </w:r>
      <w:r>
        <w:rPr>
          <w:rFonts w:hint="eastAsia"/>
          <w:i/>
        </w:rPr>
        <w:t xml:space="preserve"> Regarding Rel-19 Type-II code book refinement, Rel-16 eType-II should be considered as the baseline.</w:t>
      </w:r>
    </w:p>
    <w:p>
      <w:pPr>
        <w:numPr>
          <w:ilvl w:val="0"/>
          <w:numId w:val="10"/>
        </w:numPr>
        <w:snapToGrid w:val="0"/>
        <w:spacing w:before="120" w:beforeLines="50" w:after="120" w:afterLines="50" w:line="300" w:lineRule="auto"/>
        <w:rPr>
          <w:i/>
        </w:rPr>
      </w:pPr>
      <w:r>
        <w:rPr>
          <w:rFonts w:hint="eastAsia"/>
          <w:i/>
        </w:rPr>
        <w:t>No new parameters/designs should</w:t>
      </w:r>
      <w:r>
        <w:rPr>
          <w:i/>
        </w:rPr>
        <w:t xml:space="preserve"> </w:t>
      </w:r>
      <w:r>
        <w:rPr>
          <w:rFonts w:hint="eastAsia"/>
          <w:i/>
        </w:rPr>
        <w:t>be introduced for Type-II codebook refinement, except for increasing the supported number of antenna ports;</w:t>
      </w:r>
    </w:p>
    <w:p>
      <w:pPr>
        <w:numPr>
          <w:ilvl w:val="0"/>
          <w:numId w:val="10"/>
        </w:numPr>
        <w:snapToGrid w:val="0"/>
        <w:spacing w:before="120" w:beforeLines="50" w:after="120" w:afterLines="50" w:line="300" w:lineRule="auto"/>
        <w:rPr>
          <w:i/>
        </w:rPr>
      </w:pPr>
      <w:r>
        <w:rPr>
          <w:rFonts w:hint="eastAsia"/>
          <w:i/>
        </w:rPr>
        <w:t xml:space="preserve">FFS: </w:t>
      </w:r>
      <w:r>
        <w:rPr>
          <w:rFonts w:hint="eastAsia" w:eastAsia="微软雅黑"/>
          <w:i/>
          <w:szCs w:val="20"/>
        </w:rPr>
        <w:t xml:space="preserve">new configurations for codebook parameters L, </w:t>
      </w:r>
      <m:oMath>
        <m:r>
          <m:rPr/>
          <w:rPr>
            <w:rFonts w:ascii="Cambria Math" w:hAnsi="Cambria Math"/>
            <w:szCs w:val="20"/>
          </w:rPr>
          <m:t>β</m:t>
        </m:r>
      </m:oMath>
      <w:r>
        <w:rPr>
          <w:rFonts w:hint="eastAsia" w:hAnsi="Cambria Math"/>
          <w:i/>
          <w:szCs w:val="20"/>
        </w:rPr>
        <w:t xml:space="preserve">, and </w:t>
      </w:r>
      <m:oMath>
        <m:sSub>
          <m:sSubPr>
            <m:ctrlPr>
              <w:rPr>
                <w:rFonts w:ascii="Cambria Math" w:hAnsi="Cambria Math"/>
                <w:i/>
                <w:szCs w:val="20"/>
              </w:rPr>
            </m:ctrlPr>
          </m:sSubPr>
          <m:e>
            <m:r>
              <m:rPr/>
              <w:rPr>
                <w:rFonts w:ascii="Cambria Math" w:hAnsi="Cambria Math"/>
                <w:szCs w:val="20"/>
              </w:rPr>
              <m:t>p</m:t>
            </m:r>
            <m:ctrlPr>
              <w:rPr>
                <w:rFonts w:ascii="Cambria Math" w:hAnsi="Cambria Math"/>
                <w:i/>
                <w:szCs w:val="20"/>
              </w:rPr>
            </m:ctrlPr>
          </m:e>
          <m:sub>
            <m:r>
              <m:rPr/>
              <w:rPr>
                <w:rFonts w:ascii="Cambria Math" w:hAnsi="Cambria Math"/>
                <w:szCs w:val="20"/>
              </w:rPr>
              <m:t>v</m:t>
            </m:r>
            <m:ctrlPr>
              <w:rPr>
                <w:rFonts w:ascii="Cambria Math" w:hAnsi="Cambria Math"/>
                <w:i/>
                <w:szCs w:val="20"/>
              </w:rPr>
            </m:ctrlPr>
          </m:sub>
        </m:sSub>
      </m:oMath>
      <w:r>
        <w:rPr>
          <w:rFonts w:hint="eastAsia" w:hAnsi="Cambria Math"/>
          <w:i/>
          <w:szCs w:val="20"/>
        </w:rPr>
        <w:t xml:space="preserve"> when the antenna port number is greater than 32.</w:t>
      </w:r>
    </w:p>
    <w:p>
      <w:pPr>
        <w:snapToGrid w:val="0"/>
        <w:spacing w:before="72" w:beforeLines="30" w:after="72" w:afterLines="30" w:line="300" w:lineRule="auto"/>
        <w:textAlignment w:val="center"/>
        <w:rPr>
          <w:i/>
        </w:rPr>
      </w:pPr>
      <w:r>
        <w:rPr>
          <w:b/>
          <w:i/>
        </w:rPr>
        <w:t>Proposal 8</w:t>
      </w:r>
      <w:r>
        <w:rPr>
          <w:rFonts w:hint="eastAsia"/>
          <w:b/>
          <w:i/>
        </w:rPr>
        <w:t xml:space="preserve">: </w:t>
      </w:r>
      <w:r>
        <w:rPr>
          <w:rFonts w:hint="eastAsia"/>
          <w:i/>
        </w:rPr>
        <w:t>Regarding Rel-19 CRIs-based CSI reporting, both Type-I and eType-II codebooks should be supported</w:t>
      </w:r>
      <w:r>
        <w:rPr>
          <w:i/>
        </w:rPr>
        <w:t>.</w:t>
      </w:r>
    </w:p>
    <w:p>
      <w:pPr>
        <w:numPr>
          <w:ilvl w:val="0"/>
          <w:numId w:val="10"/>
        </w:numPr>
        <w:snapToGrid w:val="0"/>
        <w:spacing w:before="120" w:beforeLines="50" w:after="120" w:afterLines="50" w:line="300" w:lineRule="auto"/>
        <w:rPr>
          <w:i/>
        </w:rPr>
      </w:pPr>
      <w:r>
        <w:rPr>
          <w:rFonts w:hint="eastAsia"/>
          <w:i/>
        </w:rPr>
        <w:t>Up to 8 CSI-RS resources can be configured;</w:t>
      </w:r>
    </w:p>
    <w:p>
      <w:pPr>
        <w:numPr>
          <w:ilvl w:val="0"/>
          <w:numId w:val="10"/>
        </w:numPr>
        <w:snapToGrid w:val="0"/>
        <w:spacing w:before="120" w:beforeLines="50" w:after="120" w:afterLines="50" w:line="300" w:lineRule="auto"/>
        <w:rPr>
          <w:i/>
          <w:iCs/>
        </w:rPr>
      </w:pPr>
      <w:r>
        <w:rPr>
          <w:rFonts w:hint="eastAsia"/>
          <w:i/>
          <w:iCs/>
        </w:rPr>
        <w:t>U</w:t>
      </w:r>
      <w:r>
        <w:rPr>
          <w:i/>
          <w:iCs/>
        </w:rPr>
        <w:t xml:space="preserve">p to </w:t>
      </w:r>
      <w:r>
        <w:rPr>
          <w:rFonts w:hint="eastAsia"/>
          <w:i/>
          <w:iCs/>
        </w:rPr>
        <w:t xml:space="preserve">a total number of </w:t>
      </w:r>
      <w:r>
        <w:rPr>
          <w:i/>
          <w:iCs/>
        </w:rPr>
        <w:t xml:space="preserve">128 CSI-RS ports across all resources, with up to 32 CSI-RS ports per resource, </w:t>
      </w:r>
      <w:r>
        <w:rPr>
          <w:rFonts w:hint="eastAsia"/>
          <w:i/>
          <w:iCs/>
        </w:rPr>
        <w:t>can be configured</w:t>
      </w:r>
      <w:r>
        <w:rPr>
          <w:i/>
          <w:iCs/>
        </w:rPr>
        <w:t>.</w:t>
      </w:r>
    </w:p>
    <w:p>
      <w:pPr>
        <w:snapToGrid w:val="0"/>
        <w:spacing w:before="72" w:beforeLines="30" w:after="72" w:afterLines="30" w:line="300" w:lineRule="auto"/>
        <w:textAlignment w:val="center"/>
        <w:rPr>
          <w:i/>
          <w:iCs/>
          <w:color w:val="000000"/>
        </w:rPr>
      </w:pPr>
      <w:r>
        <w:rPr>
          <w:b/>
          <w:i/>
        </w:rPr>
        <w:t>Proposal 9</w:t>
      </w:r>
      <w:r>
        <w:rPr>
          <w:rFonts w:hint="eastAsia"/>
          <w:b/>
          <w:i/>
        </w:rPr>
        <w:t xml:space="preserve">: </w:t>
      </w:r>
      <w:r>
        <w:rPr>
          <w:rFonts w:hint="eastAsia"/>
          <w:i/>
        </w:rPr>
        <w:t>Regarding Rel-19 CRIs-based CSI reporting, N = 2 CSI reports should be supported.</w:t>
      </w:r>
    </w:p>
    <w:p>
      <w:pPr>
        <w:snapToGrid w:val="0"/>
        <w:spacing w:before="72" w:beforeLines="30" w:after="72" w:afterLines="30" w:line="300" w:lineRule="auto"/>
        <w:textAlignment w:val="center"/>
        <w:rPr>
          <w:i/>
        </w:rPr>
      </w:pPr>
      <w:r>
        <w:rPr>
          <w:b/>
          <w:i/>
        </w:rPr>
        <w:t xml:space="preserve">Proposal </w:t>
      </w:r>
      <w:r>
        <w:rPr>
          <w:rFonts w:hint="eastAsia"/>
          <w:b/>
          <w:i/>
        </w:rPr>
        <w:t>1</w:t>
      </w:r>
      <w:r>
        <w:rPr>
          <w:b/>
          <w:i/>
        </w:rPr>
        <w:t>0</w:t>
      </w:r>
      <w:r>
        <w:rPr>
          <w:rFonts w:hint="eastAsia"/>
          <w:b/>
          <w:i/>
        </w:rPr>
        <w:t xml:space="preserve">: </w:t>
      </w:r>
      <w:r>
        <w:rPr>
          <w:rFonts w:hint="eastAsia"/>
          <w:i/>
        </w:rPr>
        <w:t xml:space="preserve">Regarding Rel-19 CRIs-based CSI reporting, the following reporting overhead reductions can be </w:t>
      </w:r>
      <w:r>
        <w:rPr>
          <w:i/>
        </w:rPr>
        <w:t>considered</w:t>
      </w:r>
      <w:r>
        <w:rPr>
          <w:rFonts w:hint="eastAsia"/>
          <w:i/>
        </w:rPr>
        <w:t>:</w:t>
      </w:r>
    </w:p>
    <w:p>
      <w:pPr>
        <w:numPr>
          <w:ilvl w:val="0"/>
          <w:numId w:val="10"/>
        </w:numPr>
        <w:snapToGrid w:val="0"/>
        <w:spacing w:before="120" w:beforeLines="50" w:after="120" w:afterLines="50" w:line="300" w:lineRule="auto"/>
        <w:rPr>
          <w:i/>
          <w:iCs/>
        </w:rPr>
      </w:pPr>
      <w:r>
        <w:rPr>
          <w:rFonts w:hint="eastAsia"/>
          <w:i/>
          <w:iCs/>
        </w:rPr>
        <w:t>CRI-common RI reporting;</w:t>
      </w:r>
    </w:p>
    <w:p>
      <w:pPr>
        <w:numPr>
          <w:ilvl w:val="0"/>
          <w:numId w:val="10"/>
        </w:numPr>
        <w:snapToGrid w:val="0"/>
        <w:spacing w:before="120" w:beforeLines="50" w:after="120" w:afterLines="50" w:line="300" w:lineRule="auto"/>
        <w:rPr>
          <w:i/>
          <w:iCs/>
          <w:color w:val="000000"/>
        </w:rPr>
      </w:pPr>
      <w:r>
        <w:rPr>
          <w:rFonts w:hint="eastAsia"/>
          <w:i/>
          <w:iCs/>
        </w:rPr>
        <w:t xml:space="preserve">Differential </w:t>
      </w:r>
      <w:r>
        <w:rPr>
          <w:rFonts w:hint="eastAsia"/>
          <w:i/>
          <w:iCs/>
          <w:szCs w:val="20"/>
        </w:rPr>
        <w:t>CQI reporting across different CRIs.</w:t>
      </w:r>
    </w:p>
    <w:p>
      <w:pPr>
        <w:snapToGrid w:val="0"/>
        <w:spacing w:before="120" w:beforeLines="50" w:after="120" w:afterLines="50" w:line="300" w:lineRule="auto"/>
        <w:rPr>
          <w:bCs/>
          <w:iCs/>
          <w:szCs w:val="20"/>
        </w:rPr>
      </w:pPr>
      <w:r>
        <w:rPr>
          <w:rFonts w:hint="eastAsia"/>
          <w:iCs/>
          <w:szCs w:val="20"/>
        </w:rPr>
        <w:t xml:space="preserve">Besides, we have the </w:t>
      </w:r>
      <w:r>
        <w:rPr>
          <w:rFonts w:hint="eastAsia"/>
          <w:bCs/>
          <w:iCs/>
          <w:szCs w:val="20"/>
        </w:rPr>
        <w:t>following observations and proposals for CSI enhancement for CJT deployment:</w:t>
      </w:r>
    </w:p>
    <w:p>
      <w:pPr>
        <w:rPr>
          <w:b/>
          <w:bCs/>
          <w:i/>
          <w:iCs/>
        </w:rPr>
      </w:pPr>
      <w:r>
        <w:rPr>
          <w:rFonts w:hint="eastAsia"/>
          <w:b/>
          <w:bCs/>
          <w:i/>
          <w:iCs/>
        </w:rPr>
        <w:t xml:space="preserve">Observation </w:t>
      </w:r>
      <w:r>
        <w:rPr>
          <w:b/>
          <w:bCs/>
          <w:i/>
          <w:iCs/>
        </w:rPr>
        <w:t>6</w:t>
      </w:r>
      <w:r>
        <w:rPr>
          <w:rFonts w:hint="eastAsia"/>
          <w:b/>
          <w:bCs/>
          <w:i/>
          <w:iCs/>
        </w:rPr>
        <w:t xml:space="preserve">: </w:t>
      </w:r>
      <w:r>
        <w:rPr>
          <w:rFonts w:hint="eastAsia"/>
          <w:i/>
          <w:iCs/>
        </w:rPr>
        <w:t xml:space="preserve">Inter-TRP time/frequency calibration can bring significant throughput gain for CJT with non-ideal synchronization and </w:t>
      </w:r>
      <w:r>
        <w:rPr>
          <w:i/>
          <w:iCs/>
        </w:rPr>
        <w:t>backhaul</w:t>
      </w:r>
      <w:r>
        <w:rPr>
          <w:rFonts w:hint="eastAsia"/>
          <w:i/>
          <w:iCs/>
        </w:rPr>
        <w:t>.</w:t>
      </w:r>
    </w:p>
    <w:p>
      <w:pPr>
        <w:snapToGrid w:val="0"/>
        <w:spacing w:before="120" w:beforeLines="50" w:after="120" w:afterLines="50" w:line="300" w:lineRule="auto"/>
        <w:rPr>
          <w:rFonts w:eastAsia="微软雅黑"/>
          <w:i/>
          <w:iCs/>
          <w:szCs w:val="20"/>
        </w:rPr>
      </w:pPr>
      <w:r>
        <w:rPr>
          <w:rFonts w:hint="eastAsia" w:eastAsia="微软雅黑"/>
          <w:b/>
          <w:bCs/>
          <w:i/>
          <w:iCs/>
          <w:szCs w:val="20"/>
        </w:rPr>
        <w:t>Proposal 1</w:t>
      </w:r>
      <w:r>
        <w:rPr>
          <w:rFonts w:eastAsia="微软雅黑"/>
          <w:b/>
          <w:bCs/>
          <w:i/>
          <w:iCs/>
          <w:szCs w:val="20"/>
        </w:rPr>
        <w:t>1</w:t>
      </w:r>
      <w:r>
        <w:rPr>
          <w:rFonts w:hint="eastAsia" w:eastAsia="微软雅黑"/>
          <w:b/>
          <w:bCs/>
          <w:i/>
          <w:iCs/>
          <w:szCs w:val="20"/>
        </w:rPr>
        <w:t>:</w:t>
      </w:r>
      <w:r>
        <w:rPr>
          <w:rFonts w:hint="eastAsia" w:eastAsia="微软雅黑"/>
          <w:i/>
          <w:iCs/>
          <w:szCs w:val="20"/>
        </w:rPr>
        <w:t xml:space="preserve"> Regarding inter-TRP time/delay misalignment measurement, the following RS configuration can be considered:</w:t>
      </w:r>
    </w:p>
    <w:p>
      <w:pPr>
        <w:numPr>
          <w:ilvl w:val="0"/>
          <w:numId w:val="13"/>
        </w:numPr>
        <w:snapToGrid w:val="0"/>
        <w:spacing w:before="120" w:beforeLines="50" w:after="120" w:afterLines="50" w:line="300" w:lineRule="auto"/>
        <w:rPr>
          <w:rFonts w:eastAsia="微软雅黑"/>
          <w:i/>
          <w:iCs/>
          <w:szCs w:val="20"/>
        </w:rPr>
      </w:pPr>
      <w:r>
        <w:rPr>
          <w:rFonts w:hint="eastAsia" w:eastAsia="微软雅黑"/>
          <w:i/>
          <w:iCs/>
          <w:szCs w:val="20"/>
        </w:rPr>
        <w:t>In the scenario where the delay is shorted than a CP, 1-port CSI-RS resource is configured for each TRP;</w:t>
      </w:r>
    </w:p>
    <w:p>
      <w:pPr>
        <w:numPr>
          <w:ilvl w:val="0"/>
          <w:numId w:val="13"/>
        </w:numPr>
        <w:snapToGrid w:val="0"/>
        <w:spacing w:before="120" w:beforeLines="50" w:after="120" w:afterLines="50" w:line="300" w:lineRule="auto"/>
        <w:rPr>
          <w:rFonts w:eastAsia="微软雅黑"/>
          <w:szCs w:val="20"/>
        </w:rPr>
      </w:pPr>
      <w:r>
        <w:rPr>
          <w:rFonts w:hint="eastAsia" w:eastAsia="微软雅黑"/>
          <w:i/>
          <w:iCs/>
          <w:szCs w:val="20"/>
        </w:rPr>
        <w:t>In the scenario where the delay is longer than a CP, 1-port CSI-RS resource pair is configured for each TRP, and no data is transmitted over the RS symbol.</w:t>
      </w:r>
    </w:p>
    <w:p>
      <w:pPr>
        <w:snapToGrid w:val="0"/>
        <w:spacing w:before="120" w:beforeLines="50" w:after="120" w:afterLines="50" w:line="300" w:lineRule="auto"/>
        <w:rPr>
          <w:rFonts w:hAnsi="Cambria Math"/>
          <w:i/>
          <w:iCs/>
          <w:szCs w:val="20"/>
        </w:rPr>
      </w:pPr>
      <w:r>
        <w:rPr>
          <w:rFonts w:hint="eastAsia" w:hAnsi="Cambria Math"/>
          <w:b/>
          <w:bCs/>
          <w:i/>
          <w:iCs/>
          <w:szCs w:val="20"/>
        </w:rPr>
        <w:t>Proposal 1</w:t>
      </w:r>
      <w:r>
        <w:rPr>
          <w:rFonts w:hAnsi="Cambria Math"/>
          <w:b/>
          <w:bCs/>
          <w:i/>
          <w:iCs/>
          <w:szCs w:val="20"/>
        </w:rPr>
        <w:t>2</w:t>
      </w:r>
      <w:r>
        <w:rPr>
          <w:rFonts w:hint="eastAsia" w:hAnsi="Cambria Math"/>
          <w:b/>
          <w:bCs/>
          <w:i/>
          <w:iCs/>
          <w:szCs w:val="20"/>
        </w:rPr>
        <w:t>:</w:t>
      </w:r>
      <w:r>
        <w:rPr>
          <w:rFonts w:hint="eastAsia" w:hAnsi="Cambria Math"/>
          <w:i/>
          <w:iCs/>
          <w:szCs w:val="20"/>
        </w:rPr>
        <w:t xml:space="preserve"> Regarding the reporting format of inter-TRP time misalignment, support differential reporting of the delays corresponding to multiple TRPs.</w:t>
      </w:r>
    </w:p>
    <w:p>
      <w:pPr>
        <w:numPr>
          <w:ilvl w:val="0"/>
          <w:numId w:val="13"/>
        </w:numPr>
        <w:snapToGrid w:val="0"/>
        <w:spacing w:before="120" w:beforeLines="50" w:after="120" w:afterLines="50" w:line="300" w:lineRule="auto"/>
        <w:rPr>
          <w:rFonts w:hAnsi="Cambria Math"/>
          <w:i/>
          <w:iCs/>
          <w:szCs w:val="20"/>
        </w:rPr>
      </w:pPr>
      <w:r>
        <w:rPr>
          <w:rFonts w:hint="eastAsia" w:hAnsi="Cambria Math"/>
          <w:i/>
          <w:iCs/>
          <w:szCs w:val="20"/>
        </w:rPr>
        <w:t>FFS: the reference selection and differential delay quantization.</w:t>
      </w:r>
    </w:p>
    <w:p>
      <w:pPr>
        <w:snapToGrid w:val="0"/>
        <w:spacing w:before="120" w:beforeLines="50" w:after="120" w:afterLines="50" w:line="300" w:lineRule="auto"/>
        <w:rPr>
          <w:rFonts w:eastAsia="微软雅黑"/>
          <w:i/>
          <w:iCs/>
          <w:szCs w:val="20"/>
        </w:rPr>
      </w:pPr>
      <w:r>
        <w:rPr>
          <w:rFonts w:hint="eastAsia" w:eastAsia="微软雅黑"/>
          <w:b/>
          <w:bCs/>
          <w:i/>
          <w:iCs/>
          <w:szCs w:val="20"/>
        </w:rPr>
        <w:t>Proposal 1</w:t>
      </w:r>
      <w:r>
        <w:rPr>
          <w:rFonts w:eastAsia="微软雅黑"/>
          <w:b/>
          <w:bCs/>
          <w:i/>
          <w:iCs/>
          <w:szCs w:val="20"/>
        </w:rPr>
        <w:t>3</w:t>
      </w:r>
      <w:r>
        <w:rPr>
          <w:rFonts w:hint="eastAsia" w:eastAsia="微软雅黑"/>
          <w:b/>
          <w:bCs/>
          <w:i/>
          <w:iCs/>
          <w:szCs w:val="20"/>
        </w:rPr>
        <w:t>:</w:t>
      </w:r>
      <w:r>
        <w:rPr>
          <w:rFonts w:hint="eastAsia" w:eastAsia="微软雅黑"/>
          <w:i/>
          <w:iCs/>
          <w:szCs w:val="20"/>
        </w:rPr>
        <w:t xml:space="preserve"> </w:t>
      </w:r>
      <w:r>
        <w:rPr>
          <w:rFonts w:eastAsia="微软雅黑"/>
          <w:i/>
          <w:iCs/>
          <w:szCs w:val="20"/>
        </w:rPr>
        <w:t>Regarding</w:t>
      </w:r>
      <w:r>
        <w:rPr>
          <w:rFonts w:hint="eastAsia" w:eastAsia="微软雅黑"/>
          <w:i/>
          <w:iCs/>
          <w:szCs w:val="20"/>
        </w:rPr>
        <w:t xml:space="preserve"> inter-TRP frequency offset measurement, the following RS configuration can be considered:</w:t>
      </w:r>
    </w:p>
    <w:p>
      <w:pPr>
        <w:numPr>
          <w:ilvl w:val="0"/>
          <w:numId w:val="13"/>
        </w:numPr>
        <w:snapToGrid w:val="0"/>
        <w:spacing w:before="120" w:beforeLines="50" w:after="120" w:afterLines="50" w:line="300" w:lineRule="auto"/>
        <w:rPr>
          <w:rFonts w:eastAsia="微软雅黑"/>
          <w:i/>
          <w:iCs/>
          <w:szCs w:val="20"/>
        </w:rPr>
      </w:pPr>
      <w:r>
        <w:rPr>
          <w:rFonts w:hint="eastAsia" w:eastAsia="微软雅黑"/>
          <w:i/>
          <w:iCs/>
          <w:szCs w:val="20"/>
        </w:rPr>
        <w:t>One CSI-RS resource pair with 1 port is configured for each TRP.</w:t>
      </w:r>
    </w:p>
    <w:p>
      <w:pPr>
        <w:snapToGrid w:val="0"/>
        <w:spacing w:before="120" w:beforeLines="50" w:after="120" w:afterLines="50" w:line="300" w:lineRule="auto"/>
        <w:rPr>
          <w:rFonts w:eastAsia="微软雅黑"/>
          <w:i/>
          <w:iCs/>
          <w:szCs w:val="20"/>
        </w:rPr>
      </w:pPr>
      <w:r>
        <w:rPr>
          <w:rFonts w:hint="eastAsia" w:eastAsia="微软雅黑"/>
          <w:b/>
          <w:bCs/>
          <w:i/>
          <w:iCs/>
          <w:szCs w:val="20"/>
        </w:rPr>
        <w:t>Proposal 1</w:t>
      </w:r>
      <w:r>
        <w:rPr>
          <w:rFonts w:eastAsia="微软雅黑"/>
          <w:b/>
          <w:bCs/>
          <w:i/>
          <w:iCs/>
          <w:szCs w:val="20"/>
        </w:rPr>
        <w:t>4</w:t>
      </w:r>
      <w:r>
        <w:rPr>
          <w:rFonts w:hint="eastAsia" w:eastAsia="微软雅黑"/>
          <w:b/>
          <w:bCs/>
          <w:i/>
          <w:iCs/>
          <w:szCs w:val="20"/>
        </w:rPr>
        <w:t>:</w:t>
      </w:r>
      <w:r>
        <w:rPr>
          <w:rFonts w:hint="eastAsia" w:eastAsia="微软雅黑"/>
          <w:i/>
          <w:iCs/>
          <w:szCs w:val="20"/>
        </w:rPr>
        <w:t xml:space="preserve"> Regarding the reporting format of inter-TRP frequency misalignment, support reporting the differential CFOs based on a reference.</w:t>
      </w:r>
    </w:p>
    <w:p>
      <w:pPr>
        <w:numPr>
          <w:ilvl w:val="0"/>
          <w:numId w:val="13"/>
        </w:numPr>
        <w:snapToGrid w:val="0"/>
        <w:spacing w:before="120" w:beforeLines="50" w:after="120" w:afterLines="50" w:line="300" w:lineRule="auto"/>
        <w:rPr>
          <w:rFonts w:eastAsia="微软雅黑"/>
          <w:i/>
          <w:iCs/>
          <w:szCs w:val="20"/>
        </w:rPr>
      </w:pPr>
      <w:r>
        <w:rPr>
          <w:rFonts w:hint="eastAsia" w:eastAsia="微软雅黑"/>
          <w:i/>
          <w:iCs/>
          <w:szCs w:val="20"/>
        </w:rPr>
        <w:t xml:space="preserve"> FFS: reference selection, and quantization of the differential CFOs.</w:t>
      </w:r>
    </w:p>
    <w:p>
      <w:pPr>
        <w:rPr>
          <w:i/>
          <w:iCs/>
        </w:rPr>
      </w:pPr>
      <w:r>
        <w:rPr>
          <w:rFonts w:hint="eastAsia"/>
          <w:b/>
          <w:bCs/>
          <w:i/>
          <w:iCs/>
        </w:rPr>
        <w:t>Proposal 1</w:t>
      </w:r>
      <w:r>
        <w:rPr>
          <w:b/>
          <w:bCs/>
          <w:i/>
          <w:iCs/>
        </w:rPr>
        <w:t>5</w:t>
      </w:r>
      <w:r>
        <w:rPr>
          <w:rFonts w:hint="eastAsia"/>
          <w:b/>
          <w:bCs/>
          <w:i/>
          <w:iCs/>
        </w:rPr>
        <w:t>:</w:t>
      </w:r>
      <w:r>
        <w:rPr>
          <w:rFonts w:hint="eastAsia"/>
          <w:i/>
          <w:iCs/>
        </w:rPr>
        <w:t xml:space="preserve"> Regarding the report quantities for inter-TRP time/frequency misalignment reporting, the followings should be supported:</w:t>
      </w:r>
    </w:p>
    <w:p>
      <w:pPr>
        <w:numPr>
          <w:ilvl w:val="0"/>
          <w:numId w:val="13"/>
        </w:numPr>
        <w:snapToGrid w:val="0"/>
        <w:spacing w:before="120" w:beforeLines="50" w:after="120" w:afterLines="50" w:line="300" w:lineRule="auto"/>
        <w:rPr>
          <w:rFonts w:eastAsia="微软雅黑"/>
          <w:i/>
          <w:iCs/>
          <w:szCs w:val="20"/>
        </w:rPr>
      </w:pPr>
      <w:r>
        <w:rPr>
          <w:rFonts w:eastAsia="微软雅黑"/>
          <w:i/>
          <w:iCs/>
          <w:szCs w:val="20"/>
        </w:rPr>
        <w:t>“Only i</w:t>
      </w:r>
      <w:r>
        <w:rPr>
          <w:rFonts w:hint="eastAsia" w:eastAsia="微软雅黑"/>
          <w:i/>
          <w:iCs/>
          <w:szCs w:val="20"/>
        </w:rPr>
        <w:t>nter-TRP time misalignment</w:t>
      </w:r>
      <w:r>
        <w:rPr>
          <w:rFonts w:eastAsia="微软雅黑"/>
          <w:i/>
          <w:iCs/>
          <w:szCs w:val="20"/>
        </w:rPr>
        <w:t>”,</w:t>
      </w:r>
    </w:p>
    <w:p>
      <w:pPr>
        <w:numPr>
          <w:ilvl w:val="0"/>
          <w:numId w:val="13"/>
        </w:numPr>
        <w:snapToGrid w:val="0"/>
        <w:spacing w:before="120" w:beforeLines="50" w:after="120" w:afterLines="50" w:line="300" w:lineRule="auto"/>
        <w:rPr>
          <w:rFonts w:eastAsia="微软雅黑"/>
          <w:i/>
          <w:iCs/>
          <w:szCs w:val="20"/>
        </w:rPr>
      </w:pPr>
      <w:r>
        <w:rPr>
          <w:rFonts w:eastAsia="微软雅黑"/>
          <w:i/>
          <w:iCs/>
          <w:szCs w:val="20"/>
        </w:rPr>
        <w:t>“Only i</w:t>
      </w:r>
      <w:r>
        <w:rPr>
          <w:rFonts w:hint="eastAsia" w:eastAsia="微软雅黑"/>
          <w:i/>
          <w:iCs/>
          <w:szCs w:val="20"/>
        </w:rPr>
        <w:t>n</w:t>
      </w:r>
      <w:r>
        <w:rPr>
          <w:rFonts w:eastAsia="微软雅黑"/>
          <w:i/>
          <w:iCs/>
          <w:szCs w:val="20"/>
        </w:rPr>
        <w:t>t</w:t>
      </w:r>
      <w:r>
        <w:rPr>
          <w:rFonts w:hint="eastAsia" w:eastAsia="微软雅黑"/>
          <w:i/>
          <w:iCs/>
          <w:szCs w:val="20"/>
        </w:rPr>
        <w:t>er-TRP frequency misalignment</w:t>
      </w:r>
      <w:r>
        <w:rPr>
          <w:rFonts w:eastAsia="微软雅黑"/>
          <w:i/>
          <w:iCs/>
          <w:szCs w:val="20"/>
        </w:rPr>
        <w:t>”,</w:t>
      </w:r>
      <w:r>
        <w:rPr>
          <w:rFonts w:hint="eastAsia" w:eastAsia="微软雅黑"/>
          <w:i/>
          <w:iCs/>
          <w:szCs w:val="20"/>
        </w:rPr>
        <w:t xml:space="preserve"> and</w:t>
      </w:r>
    </w:p>
    <w:p>
      <w:pPr>
        <w:numPr>
          <w:ilvl w:val="0"/>
          <w:numId w:val="13"/>
        </w:numPr>
        <w:snapToGrid w:val="0"/>
        <w:spacing w:before="120" w:beforeLines="50" w:after="120" w:afterLines="50" w:line="300" w:lineRule="auto"/>
        <w:rPr>
          <w:rFonts w:eastAsia="微软雅黑"/>
          <w:i/>
          <w:iCs/>
          <w:szCs w:val="20"/>
        </w:rPr>
      </w:pPr>
      <w:r>
        <w:rPr>
          <w:rFonts w:eastAsia="微软雅黑"/>
          <w:i/>
          <w:iCs/>
          <w:szCs w:val="20"/>
        </w:rPr>
        <w:t>“</w:t>
      </w:r>
      <w:r>
        <w:rPr>
          <w:rFonts w:hint="eastAsia" w:eastAsia="微软雅黑"/>
          <w:i/>
          <w:iCs/>
          <w:szCs w:val="20"/>
        </w:rPr>
        <w:t>Joint inter-TRP time/frequency misalignment</w:t>
      </w:r>
      <w:r>
        <w:rPr>
          <w:rFonts w:eastAsia="微软雅黑"/>
          <w:i/>
          <w:iCs/>
          <w:szCs w:val="20"/>
        </w:rPr>
        <w:t>”</w:t>
      </w:r>
      <w:r>
        <w:rPr>
          <w:rFonts w:hint="eastAsia" w:eastAsia="微软雅黑"/>
          <w:i/>
          <w:iCs/>
          <w:szCs w:val="20"/>
        </w:rPr>
        <w:t>.</w:t>
      </w:r>
    </w:p>
    <w:p>
      <w:pPr>
        <w:spacing w:after="120"/>
        <w:rPr>
          <w:i/>
          <w:iCs/>
        </w:rPr>
      </w:pPr>
      <w:r>
        <w:rPr>
          <w:rFonts w:hint="eastAsia"/>
          <w:b/>
          <w:bCs/>
          <w:i/>
          <w:iCs/>
        </w:rPr>
        <w:t>Proposal 1</w:t>
      </w:r>
      <w:r>
        <w:rPr>
          <w:b/>
          <w:bCs/>
          <w:i/>
          <w:iCs/>
        </w:rPr>
        <w:t>6</w:t>
      </w:r>
      <w:r>
        <w:rPr>
          <w:rFonts w:hint="eastAsia"/>
          <w:b/>
          <w:bCs/>
          <w:i/>
          <w:iCs/>
        </w:rPr>
        <w:t xml:space="preserve">: </w:t>
      </w:r>
      <w:r>
        <w:rPr>
          <w:rFonts w:hint="eastAsia"/>
          <w:i/>
          <w:iCs/>
        </w:rPr>
        <w:t>Support refining Rel-18 CJT CSI/CQI by a new hypothesis of TRP-specific time misalignment pre-compensation.</w:t>
      </w:r>
    </w:p>
    <w:p>
      <w:pPr>
        <w:numPr>
          <w:ilvl w:val="0"/>
          <w:numId w:val="13"/>
        </w:numPr>
        <w:snapToGrid w:val="0"/>
        <w:spacing w:before="120" w:beforeLines="50" w:after="120" w:afterLines="50" w:line="300" w:lineRule="auto"/>
        <w:rPr>
          <w:rFonts w:eastAsia="微软雅黑"/>
          <w:i/>
          <w:iCs/>
          <w:szCs w:val="20"/>
        </w:rPr>
      </w:pPr>
      <w:r>
        <w:rPr>
          <w:rFonts w:hint="eastAsia" w:eastAsia="微软雅黑"/>
          <w:i/>
          <w:iCs/>
          <w:szCs w:val="20"/>
        </w:rPr>
        <w:t>Note: UE measures CJT CSI/CQI through normal CMR(s) without TRP-specific time misalignment pre-compensation, but assuming TRP-specific time misalignment pre</w:t>
      </w:r>
      <w:r>
        <w:rPr>
          <w:rFonts w:eastAsia="微软雅黑"/>
          <w:i/>
          <w:iCs/>
          <w:szCs w:val="20"/>
        </w:rPr>
        <w:t>-</w:t>
      </w:r>
      <w:r>
        <w:rPr>
          <w:rFonts w:hint="eastAsia" w:eastAsia="微软雅黑"/>
          <w:i/>
          <w:iCs/>
          <w:szCs w:val="20"/>
        </w:rPr>
        <w:t>compensation for PDSCH reception.</w:t>
      </w:r>
    </w:p>
    <w:p>
      <w:pPr>
        <w:tabs>
          <w:tab w:val="left" w:pos="420"/>
        </w:tabs>
        <w:snapToGrid w:val="0"/>
        <w:spacing w:before="120" w:beforeLines="50" w:after="120" w:afterLines="50" w:line="300" w:lineRule="auto"/>
        <w:rPr>
          <w:rFonts w:eastAsia="微软雅黑"/>
          <w:i/>
          <w:iCs/>
          <w:szCs w:val="20"/>
        </w:rPr>
      </w:pPr>
      <w:r>
        <w:rPr>
          <w:rFonts w:eastAsia="微软雅黑"/>
          <w:b/>
          <w:bCs/>
          <w:i/>
          <w:iCs/>
          <w:szCs w:val="20"/>
        </w:rPr>
        <w:t xml:space="preserve">Proposal </w:t>
      </w:r>
      <w:r>
        <w:rPr>
          <w:rFonts w:hint="eastAsia" w:eastAsia="微软雅黑"/>
          <w:b/>
          <w:bCs/>
          <w:i/>
          <w:iCs/>
          <w:szCs w:val="20"/>
        </w:rPr>
        <w:t>1</w:t>
      </w:r>
      <w:r>
        <w:rPr>
          <w:rFonts w:eastAsia="微软雅黑"/>
          <w:b/>
          <w:bCs/>
          <w:i/>
          <w:iCs/>
          <w:szCs w:val="20"/>
        </w:rPr>
        <w:t>7:</w:t>
      </w:r>
      <w:r>
        <w:rPr>
          <w:rFonts w:eastAsia="微软雅黑"/>
          <w:i/>
          <w:iCs/>
          <w:szCs w:val="20"/>
        </w:rPr>
        <w:t xml:space="preserve"> </w:t>
      </w:r>
      <w:r>
        <w:rPr>
          <w:rFonts w:hint="eastAsia" w:eastAsia="微软雅黑"/>
          <w:i/>
          <w:iCs/>
          <w:szCs w:val="20"/>
        </w:rPr>
        <w:t>Regarding TCI state(s) indication for CJT with pre-compensation of inter-TRP time/frequency misalignment, support</w:t>
      </w:r>
      <w:r>
        <w:rPr>
          <w:rFonts w:eastAsia="微软雅黑"/>
          <w:i/>
          <w:iCs/>
          <w:szCs w:val="20"/>
        </w:rPr>
        <w:t xml:space="preserve"> indicating two TCI states (QCL-TypeA + QCL-TypeB) for PDSCH </w:t>
      </w:r>
      <w:r>
        <w:rPr>
          <w:rFonts w:hint="eastAsia" w:eastAsia="微软雅黑"/>
          <w:i/>
          <w:iCs/>
          <w:szCs w:val="20"/>
        </w:rPr>
        <w:t>reception</w:t>
      </w:r>
      <w:r>
        <w:rPr>
          <w:rFonts w:eastAsia="微软雅黑"/>
          <w:i/>
          <w:iCs/>
          <w:szCs w:val="20"/>
        </w:rPr>
        <w:t>.</w:t>
      </w:r>
    </w:p>
    <w:p>
      <w:pPr>
        <w:numPr>
          <w:ilvl w:val="0"/>
          <w:numId w:val="13"/>
        </w:numPr>
        <w:snapToGrid w:val="0"/>
        <w:spacing w:before="120" w:beforeLines="50" w:after="120" w:afterLines="50" w:line="300" w:lineRule="auto"/>
        <w:rPr>
          <w:rFonts w:eastAsia="微软雅黑"/>
          <w:i/>
          <w:iCs/>
          <w:szCs w:val="20"/>
        </w:rPr>
      </w:pPr>
      <w:r>
        <w:rPr>
          <w:rFonts w:hint="eastAsia" w:eastAsia="微软雅黑"/>
          <w:i/>
          <w:iCs/>
          <w:szCs w:val="20"/>
        </w:rPr>
        <w:t>Note: it implies that the</w:t>
      </w:r>
      <w:r>
        <w:rPr>
          <w:rFonts w:eastAsia="微软雅黑"/>
          <w:i/>
          <w:iCs/>
          <w:szCs w:val="20"/>
        </w:rPr>
        <w:t xml:space="preserve"> time misalignment</w:t>
      </w:r>
      <w:r>
        <w:rPr>
          <w:rFonts w:hint="eastAsia" w:eastAsia="微软雅黑"/>
          <w:i/>
          <w:iCs/>
          <w:szCs w:val="20"/>
        </w:rPr>
        <w:t xml:space="preserve"> is</w:t>
      </w:r>
      <w:r>
        <w:rPr>
          <w:rFonts w:eastAsia="微软雅黑"/>
          <w:i/>
          <w:iCs/>
          <w:szCs w:val="20"/>
        </w:rPr>
        <w:t xml:space="preserve"> pre-compensat</w:t>
      </w:r>
      <w:r>
        <w:rPr>
          <w:rFonts w:hint="eastAsia" w:eastAsia="微软雅黑"/>
          <w:i/>
          <w:iCs/>
          <w:szCs w:val="20"/>
        </w:rPr>
        <w:t>ed</w:t>
      </w:r>
      <w:r>
        <w:rPr>
          <w:rFonts w:eastAsia="微软雅黑"/>
          <w:i/>
          <w:iCs/>
          <w:szCs w:val="20"/>
        </w:rPr>
        <w:t xml:space="preserve"> for PDSCH reception.</w:t>
      </w:r>
    </w:p>
    <w:p>
      <w:pPr>
        <w:keepNext/>
        <w:widowControl w:val="0"/>
        <w:numPr>
          <w:ilvl w:val="0"/>
          <w:numId w:val="8"/>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pPr>
        <w:pStyle w:val="74"/>
        <w:numPr>
          <w:ilvl w:val="0"/>
          <w:numId w:val="15"/>
        </w:numPr>
        <w:snapToGrid w:val="0"/>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pPr>
        <w:keepNext/>
        <w:widowControl w:val="0"/>
        <w:numPr>
          <w:ilvl w:val="0"/>
          <w:numId w:val="8"/>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pPr>
        <w:snapToGrid w:val="0"/>
        <w:spacing w:before="72" w:beforeLines="30" w:after="72" w:afterLines="30" w:line="288" w:lineRule="auto"/>
        <w:jc w:val="center"/>
        <w:rPr>
          <w:rFonts w:eastAsia="微软雅黑"/>
          <w:szCs w:val="20"/>
          <w:u w:val="single"/>
        </w:rPr>
      </w:pPr>
      <w:r>
        <w:rPr>
          <w:rFonts w:eastAsia="微软雅黑"/>
          <w:b/>
          <w:szCs w:val="20"/>
        </w:rPr>
        <w:t>Table</w:t>
      </w:r>
      <w:r>
        <w:rPr>
          <w:rFonts w:hint="eastAsia" w:eastAsia="微软雅黑"/>
          <w:b/>
          <w:szCs w:val="20"/>
        </w:rPr>
        <w:t xml:space="preserve"> 2</w:t>
      </w:r>
      <w:r>
        <w:rPr>
          <w:rFonts w:eastAsia="微软雅黑"/>
          <w:szCs w:val="20"/>
        </w:rPr>
        <w:t xml:space="preserve"> SLS evaluation assumption for </w:t>
      </w:r>
      <w:r>
        <w:rPr>
          <w:rFonts w:hint="eastAsia" w:eastAsia="微软雅黑"/>
          <w:szCs w:val="20"/>
        </w:rPr>
        <w:t>more than 32T</w:t>
      </w:r>
      <w:r>
        <w:rPr>
          <w:rFonts w:eastAsia="微软雅黑"/>
          <w:szCs w:val="20"/>
        </w:rPr>
        <w:t xml:space="preserve"> related </w:t>
      </w:r>
      <w:r>
        <w:rPr>
          <w:rFonts w:hint="eastAsia" w:eastAsia="微软雅黑"/>
          <w:szCs w:val="20"/>
        </w:rPr>
        <w:t>Type-I/</w:t>
      </w:r>
      <w:r>
        <w:rPr>
          <w:rFonts w:eastAsia="微软雅黑"/>
          <w:szCs w:val="20"/>
        </w:rPr>
        <w:t>Type-II codebook</w:t>
      </w:r>
    </w:p>
    <w:tbl>
      <w:tblPr>
        <w:tblStyle w:val="24"/>
        <w:tblW w:w="7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2"/>
        <w:gridCol w:w="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3392" w:type="dxa"/>
            <w:shd w:val="clear" w:color="000000" w:fill="BEBEBE" w:themeFill="background1" w:themeFillShade="BF"/>
            <w:noWrap/>
            <w:vAlign w:val="center"/>
          </w:tcPr>
          <w:p>
            <w:pPr>
              <w:spacing w:after="0"/>
              <w:jc w:val="center"/>
              <w:rPr>
                <w:b/>
                <w:bCs/>
                <w:color w:val="000000"/>
                <w:sz w:val="18"/>
                <w:szCs w:val="18"/>
              </w:rPr>
            </w:pPr>
            <w:r>
              <w:rPr>
                <w:b/>
                <w:bCs/>
                <w:color w:val="000000"/>
                <w:sz w:val="18"/>
                <w:szCs w:val="18"/>
              </w:rPr>
              <w:t>Parameter</w:t>
            </w:r>
          </w:p>
        </w:tc>
        <w:tc>
          <w:tcPr>
            <w:tcW w:w="4504" w:type="dxa"/>
            <w:shd w:val="clear" w:color="000000" w:fill="BEBEBE" w:themeFill="background1" w:themeFillShade="BF"/>
            <w:noWrap/>
            <w:vAlign w:val="center"/>
          </w:tcPr>
          <w:p>
            <w:pPr>
              <w:spacing w:after="0"/>
              <w:jc w:val="center"/>
              <w:rPr>
                <w:b/>
                <w:bCs/>
                <w:color w:val="000000"/>
                <w:sz w:val="18"/>
                <w:szCs w:val="18"/>
              </w:rPr>
            </w:pPr>
            <w:r>
              <w:rPr>
                <w:b/>
                <w:bCs/>
                <w:color w:val="000000"/>
                <w:sz w:val="18"/>
                <w:szCs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Carrier Frequency</w:t>
            </w:r>
          </w:p>
        </w:tc>
        <w:tc>
          <w:tcPr>
            <w:tcW w:w="4504" w:type="dxa"/>
            <w:shd w:val="clear" w:color="auto" w:fill="auto"/>
            <w:noWrap/>
            <w:vAlign w:val="center"/>
          </w:tcPr>
          <w:p>
            <w:pPr>
              <w:spacing w:after="0"/>
              <w:rPr>
                <w:color w:val="000000"/>
                <w:sz w:val="18"/>
                <w:szCs w:val="18"/>
              </w:rPr>
            </w:pPr>
            <w:r>
              <w:rPr>
                <w:rFonts w:hint="eastAsia"/>
                <w:color w:val="000000"/>
                <w:sz w:val="18"/>
                <w:szCs w:val="18"/>
              </w:rPr>
              <w:t>6</w:t>
            </w:r>
            <w:r>
              <w:rPr>
                <w:color w:val="000000"/>
                <w:sz w:val="18"/>
                <w:szCs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pPr>
              <w:spacing w:after="0"/>
              <w:rPr>
                <w:color w:val="000000"/>
                <w:sz w:val="18"/>
                <w:szCs w:val="18"/>
              </w:rPr>
            </w:pPr>
            <w:r>
              <w:rPr>
                <w:color w:val="000000"/>
                <w:sz w:val="18"/>
                <w:szCs w:val="18"/>
              </w:rPr>
              <w:t>According to the TR 38.901</w:t>
            </w:r>
          </w:p>
          <w:p>
            <w:pPr>
              <w:pStyle w:val="45"/>
              <w:rPr>
                <w:rFonts w:ascii="Times New Roman" w:hAnsi="Times New Roman"/>
                <w:color w:val="000000"/>
                <w:szCs w:val="18"/>
                <w:lang w:val="en-US" w:eastAsia="zh-CN"/>
              </w:rPr>
            </w:pPr>
            <w:r>
              <w:rPr>
                <w:rFonts w:ascii="Times New Roman" w:hAnsi="Times New Roman"/>
                <w:color w:val="000000"/>
                <w:szCs w:val="18"/>
                <w:lang w:eastAsia="ja-JP"/>
              </w:rPr>
              <w:t>3D UM</w:t>
            </w:r>
            <w:r>
              <w:rPr>
                <w:rFonts w:hint="eastAsia" w:ascii="Times New Roman" w:hAnsi="Times New Roman"/>
                <w:color w:val="000000"/>
                <w:szCs w:val="18"/>
                <w:lang w:val="en-US" w:eastAsia="zh-CN"/>
              </w:rPr>
              <w:t>i  ISD=200m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Antenna setup and port layouts at gNB</w:t>
            </w:r>
          </w:p>
        </w:tc>
        <w:tc>
          <w:tcPr>
            <w:tcW w:w="4504" w:type="dxa"/>
            <w:shd w:val="clear" w:color="auto" w:fill="auto"/>
            <w:vAlign w:val="center"/>
          </w:tcPr>
          <w:p>
            <w:pPr>
              <w:spacing w:after="0"/>
              <w:rPr>
                <w:color w:val="000000"/>
                <w:sz w:val="18"/>
                <w:szCs w:val="18"/>
              </w:rPr>
            </w:pPr>
            <w:r>
              <w:rPr>
                <w:rFonts w:hint="eastAsia"/>
                <w:color w:val="000000"/>
                <w:sz w:val="18"/>
                <w:szCs w:val="18"/>
              </w:rPr>
              <w:t xml:space="preserve">- 32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2</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2</w:t>
            </w:r>
            <w:r>
              <w:rPr>
                <w:color w:val="000000"/>
                <w:kern w:val="24"/>
                <w:sz w:val="18"/>
                <w:szCs w:val="18"/>
              </w:rPr>
              <w:t>,</w:t>
            </w:r>
            <w:r>
              <w:rPr>
                <w:rFonts w:hint="eastAsia"/>
                <w:color w:val="000000"/>
                <w:kern w:val="24"/>
                <w:sz w:val="18"/>
                <w:szCs w:val="18"/>
              </w:rPr>
              <w:t>8</w:t>
            </w:r>
            <w:r>
              <w:rPr>
                <w:color w:val="000000"/>
                <w:sz w:val="18"/>
                <w:szCs w:val="18"/>
              </w:rPr>
              <w:t>)</w:t>
            </w:r>
          </w:p>
          <w:p>
            <w:pPr>
              <w:spacing w:after="0"/>
              <w:rPr>
                <w:color w:val="000000"/>
                <w:sz w:val="18"/>
                <w:szCs w:val="18"/>
              </w:rPr>
            </w:pPr>
            <w:r>
              <w:rPr>
                <w:rFonts w:hint="eastAsia"/>
                <w:color w:val="000000"/>
                <w:sz w:val="18"/>
                <w:szCs w:val="18"/>
              </w:rPr>
              <w:t xml:space="preserve">- 64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4</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4</w:t>
            </w:r>
            <w:r>
              <w:rPr>
                <w:color w:val="000000"/>
                <w:kern w:val="24"/>
                <w:sz w:val="18"/>
                <w:szCs w:val="18"/>
              </w:rPr>
              <w:t>,</w:t>
            </w:r>
            <w:r>
              <w:rPr>
                <w:rFonts w:hint="eastAsia"/>
                <w:color w:val="000000"/>
                <w:kern w:val="24"/>
                <w:sz w:val="18"/>
                <w:szCs w:val="18"/>
              </w:rPr>
              <w:t>8</w:t>
            </w:r>
            <w:r>
              <w:rPr>
                <w:color w:val="000000"/>
                <w:sz w:val="18"/>
                <w:szCs w:val="18"/>
              </w:rPr>
              <w:t>)</w:t>
            </w:r>
          </w:p>
          <w:p>
            <w:pPr>
              <w:spacing w:after="0"/>
              <w:rPr>
                <w:color w:val="000000"/>
                <w:sz w:val="18"/>
                <w:szCs w:val="18"/>
              </w:rPr>
            </w:pPr>
            <w:r>
              <w:rPr>
                <w:rFonts w:hint="eastAsia"/>
                <w:color w:val="000000"/>
                <w:sz w:val="18"/>
                <w:szCs w:val="18"/>
              </w:rPr>
              <w:t xml:space="preserve">- 128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8</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8</w:t>
            </w:r>
            <w:r>
              <w:rPr>
                <w:color w:val="000000"/>
                <w:kern w:val="24"/>
                <w:sz w:val="18"/>
                <w:szCs w:val="18"/>
              </w:rPr>
              <w:t>,</w:t>
            </w:r>
            <w:r>
              <w:rPr>
                <w:rFonts w:hint="eastAsia"/>
                <w:color w:val="000000"/>
                <w:kern w:val="24"/>
                <w:sz w:val="18"/>
                <w:szCs w:val="18"/>
              </w:rPr>
              <w:t>8</w:t>
            </w:r>
            <w:r>
              <w:rPr>
                <w:color w:val="000000"/>
                <w:sz w:val="18"/>
                <w:szCs w:val="18"/>
              </w:rPr>
              <w:t>)</w:t>
            </w:r>
          </w:p>
          <w:p>
            <w:pPr>
              <w:spacing w:after="0"/>
              <w:rPr>
                <w:color w:val="000000"/>
                <w:sz w:val="18"/>
                <w:szCs w:val="18"/>
              </w:rPr>
            </w:pPr>
            <w:r>
              <w:rPr>
                <w:color w:val="000000"/>
                <w:sz w:val="18"/>
                <w:szCs w:val="18"/>
              </w:rPr>
              <w:t>(dH, dV) = (0.5,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Antenna setup and port layouts at UE</w:t>
            </w:r>
          </w:p>
        </w:tc>
        <w:tc>
          <w:tcPr>
            <w:tcW w:w="4504" w:type="dxa"/>
            <w:shd w:val="clear" w:color="auto" w:fill="auto"/>
            <w:noWrap/>
            <w:vAlign w:val="center"/>
          </w:tcPr>
          <w:p>
            <w:pPr>
              <w:spacing w:after="0"/>
              <w:rPr>
                <w:color w:val="000000"/>
                <w:sz w:val="18"/>
                <w:szCs w:val="18"/>
              </w:rPr>
            </w:pPr>
            <w:r>
              <w:rPr>
                <w:color w:val="000000"/>
                <w:sz w:val="18"/>
                <w:szCs w:val="18"/>
              </w:rPr>
              <w:t>(M, N, P, Mg, Ng, Mp, Np) =(1,2,2,1,1,1,2)</w:t>
            </w:r>
          </w:p>
          <w:p>
            <w:pPr>
              <w:spacing w:after="0"/>
              <w:rPr>
                <w:color w:val="000000"/>
                <w:sz w:val="18"/>
                <w:szCs w:val="18"/>
              </w:rPr>
            </w:pPr>
            <w:r>
              <w:rPr>
                <w:color w:val="000000"/>
                <w:sz w:val="18"/>
                <w:szCs w:val="18"/>
              </w:rPr>
              <w:t>(dH, dV) = (0.5,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Modulation</w:t>
            </w:r>
          </w:p>
        </w:tc>
        <w:tc>
          <w:tcPr>
            <w:tcW w:w="4504" w:type="dxa"/>
            <w:shd w:val="clear" w:color="auto" w:fill="auto"/>
            <w:noWrap/>
            <w:vAlign w:val="center"/>
          </w:tcPr>
          <w:p>
            <w:pPr>
              <w:spacing w:after="0"/>
              <w:rPr>
                <w:color w:val="000000"/>
                <w:sz w:val="18"/>
                <w:szCs w:val="18"/>
              </w:rPr>
            </w:pPr>
            <w:r>
              <w:rPr>
                <w:color w:val="000000"/>
                <w:sz w:val="18"/>
                <w:szCs w:val="18"/>
              </w:rPr>
              <w:t xml:space="preserve">Up to 256QAM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Tx power</w:t>
            </w:r>
          </w:p>
        </w:tc>
        <w:tc>
          <w:tcPr>
            <w:tcW w:w="4504" w:type="dxa"/>
            <w:shd w:val="clear" w:color="auto" w:fill="auto"/>
            <w:noWrap/>
            <w:vAlign w:val="center"/>
          </w:tcPr>
          <w:p>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pPr>
              <w:spacing w:after="0"/>
              <w:rPr>
                <w:color w:val="000000"/>
                <w:sz w:val="18"/>
                <w:szCs w:val="18"/>
              </w:rPr>
            </w:pPr>
            <w:r>
              <w:rPr>
                <w:color w:val="000000"/>
                <w:sz w:val="18"/>
                <w:szCs w:val="18"/>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antenna height</w:t>
            </w:r>
          </w:p>
        </w:tc>
        <w:tc>
          <w:tcPr>
            <w:tcW w:w="4504" w:type="dxa"/>
            <w:shd w:val="clear" w:color="auto" w:fill="auto"/>
            <w:noWrap/>
            <w:vAlign w:val="center"/>
          </w:tcPr>
          <w:p>
            <w:pPr>
              <w:spacing w:after="0"/>
              <w:rPr>
                <w:color w:val="000000"/>
                <w:sz w:val="18"/>
                <w:szCs w:val="18"/>
              </w:rPr>
            </w:pPr>
            <w:r>
              <w:rPr>
                <w:color w:val="000000"/>
                <w:sz w:val="18"/>
                <w:szCs w:val="18"/>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receiver noise figure</w:t>
            </w:r>
          </w:p>
        </w:tc>
        <w:tc>
          <w:tcPr>
            <w:tcW w:w="4504" w:type="dxa"/>
            <w:shd w:val="clear" w:color="auto" w:fill="auto"/>
            <w:noWrap/>
            <w:vAlign w:val="center"/>
          </w:tcPr>
          <w:p>
            <w:pPr>
              <w:spacing w:after="0"/>
              <w:rPr>
                <w:color w:val="000000"/>
                <w:sz w:val="18"/>
                <w:szCs w:val="18"/>
              </w:rPr>
            </w:pPr>
            <w:r>
              <w:rPr>
                <w:color w:val="000000"/>
                <w:sz w:val="18"/>
                <w:szCs w:val="18"/>
                <w:lang w:eastAsia="ja-JP"/>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receiver noise figure</w:t>
            </w:r>
          </w:p>
        </w:tc>
        <w:tc>
          <w:tcPr>
            <w:tcW w:w="4504" w:type="dxa"/>
            <w:shd w:val="clear" w:color="auto" w:fill="auto"/>
            <w:noWrap/>
            <w:vAlign w:val="center"/>
          </w:tcPr>
          <w:p>
            <w:pPr>
              <w:spacing w:after="0"/>
              <w:rPr>
                <w:color w:val="000000"/>
                <w:sz w:val="18"/>
                <w:szCs w:val="18"/>
              </w:rPr>
            </w:pPr>
            <w:r>
              <w:rPr>
                <w:color w:val="000000"/>
                <w:sz w:val="18"/>
                <w:szCs w:val="18"/>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Numerology</w:t>
            </w:r>
          </w:p>
        </w:tc>
        <w:tc>
          <w:tcPr>
            <w:tcW w:w="4504" w:type="dxa"/>
            <w:shd w:val="clear" w:color="auto" w:fill="auto"/>
            <w:noWrap/>
            <w:vAlign w:val="center"/>
          </w:tcPr>
          <w:p>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Bandwidth</w:t>
            </w:r>
          </w:p>
        </w:tc>
        <w:tc>
          <w:tcPr>
            <w:tcW w:w="4504" w:type="dxa"/>
            <w:shd w:val="clear" w:color="auto" w:fill="auto"/>
            <w:noWrap/>
            <w:vAlign w:val="center"/>
          </w:tcPr>
          <w:p>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pPr>
              <w:spacing w:after="0"/>
              <w:rPr>
                <w:color w:val="000000"/>
                <w:sz w:val="18"/>
                <w:szCs w:val="18"/>
              </w:rPr>
            </w:pPr>
            <w:r>
              <w:rPr>
                <w:color w:val="000000"/>
                <w:sz w:val="18"/>
                <w:szCs w:val="18"/>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Network Layout</w:t>
            </w:r>
          </w:p>
        </w:tc>
        <w:tc>
          <w:tcPr>
            <w:tcW w:w="4504" w:type="dxa"/>
            <w:shd w:val="clear" w:color="auto" w:fill="auto"/>
            <w:vAlign w:val="center"/>
          </w:tcPr>
          <w:p>
            <w:pPr>
              <w:spacing w:after="0"/>
              <w:rPr>
                <w:color w:val="000000"/>
                <w:sz w:val="18"/>
                <w:szCs w:val="18"/>
              </w:rPr>
            </w:pPr>
            <w:r>
              <w:rPr>
                <w:rFonts w:hint="eastAsia"/>
                <w:color w:val="000000"/>
                <w:sz w:val="18"/>
                <w:szCs w:val="18"/>
              </w:rPr>
              <w:t>40</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PMI/CQI feedback</w:t>
            </w:r>
          </w:p>
        </w:tc>
        <w:tc>
          <w:tcPr>
            <w:tcW w:w="4504" w:type="dxa"/>
            <w:shd w:val="clear" w:color="auto" w:fill="auto"/>
            <w:vAlign w:val="center"/>
          </w:tcPr>
          <w:p>
            <w:pPr>
              <w:spacing w:after="0"/>
              <w:rPr>
                <w:color w:val="000000"/>
                <w:sz w:val="18"/>
                <w:szCs w:val="18"/>
              </w:rPr>
            </w:pPr>
            <w:r>
              <w:rPr>
                <w:color w:val="000000"/>
                <w:sz w:val="18"/>
                <w:szCs w:val="18"/>
              </w:rPr>
              <w:t>Subband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distribution</w:t>
            </w:r>
          </w:p>
        </w:tc>
        <w:tc>
          <w:tcPr>
            <w:tcW w:w="4504" w:type="dxa"/>
            <w:shd w:val="clear" w:color="auto" w:fill="auto"/>
            <w:vAlign w:val="center"/>
          </w:tcPr>
          <w:p>
            <w:pPr>
              <w:spacing w:after="0"/>
              <w:rPr>
                <w:color w:val="000000"/>
                <w:sz w:val="18"/>
                <w:szCs w:val="18"/>
              </w:rPr>
            </w:pPr>
            <w:r>
              <w:rPr>
                <w:rFonts w:hint="eastAsia"/>
                <w:color w:val="000000"/>
                <w:sz w:val="18"/>
                <w:szCs w:val="18"/>
              </w:rPr>
              <w:t>20</w:t>
            </w:r>
            <w:r>
              <w:rPr>
                <w:color w:val="000000"/>
                <w:sz w:val="18"/>
                <w:szCs w:val="18"/>
              </w:rPr>
              <w:t>% outdoor (30km/h)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Traffic model</w:t>
            </w:r>
          </w:p>
        </w:tc>
        <w:tc>
          <w:tcPr>
            <w:tcW w:w="4504" w:type="dxa"/>
            <w:shd w:val="clear" w:color="auto" w:fill="auto"/>
            <w:vAlign w:val="center"/>
          </w:tcPr>
          <w:p>
            <w:pPr>
              <w:spacing w:after="0"/>
              <w:rPr>
                <w:color w:val="000000"/>
                <w:sz w:val="18"/>
                <w:szCs w:val="18"/>
              </w:rPr>
            </w:pPr>
            <w:r>
              <w:rPr>
                <w:rFonts w:hint="eastAsia"/>
                <w:color w:val="000000"/>
                <w:sz w:val="18"/>
                <w:szCs w:val="18"/>
              </w:rPr>
              <w:t>FTP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pPr>
              <w:spacing w:after="0"/>
              <w:rPr>
                <w:color w:val="000000"/>
                <w:sz w:val="18"/>
                <w:szCs w:val="18"/>
              </w:rPr>
            </w:pPr>
            <w:r>
              <w:rPr>
                <w:rFonts w:hint="eastAsia"/>
                <w:color w:val="000000"/>
                <w:sz w:val="18"/>
                <w:szCs w:val="18"/>
              </w:rPr>
              <w:t>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MIMO scheme</w:t>
            </w:r>
          </w:p>
        </w:tc>
        <w:tc>
          <w:tcPr>
            <w:tcW w:w="4504" w:type="dxa"/>
            <w:shd w:val="clear" w:color="auto" w:fill="auto"/>
            <w:vAlign w:val="center"/>
          </w:tcPr>
          <w:p>
            <w:pPr>
              <w:spacing w:after="0"/>
              <w:rPr>
                <w:color w:val="000000"/>
                <w:sz w:val="18"/>
                <w:szCs w:val="18"/>
              </w:rPr>
            </w:pPr>
            <w:r>
              <w:rPr>
                <w:rFonts w:hint="eastAsia"/>
                <w:color w:val="000000"/>
                <w:sz w:val="18"/>
                <w:szCs w:val="18"/>
              </w:rPr>
              <w:t>S</w:t>
            </w:r>
            <w:r>
              <w:rPr>
                <w:color w:val="000000"/>
                <w:sz w:val="18"/>
                <w:szCs w:val="18"/>
              </w:rPr>
              <w:t>U</w:t>
            </w:r>
            <w:r>
              <w:rPr>
                <w:rFonts w:hint="eastAsia"/>
                <w:color w:val="000000"/>
                <w:sz w:val="18"/>
                <w:szCs w:val="18"/>
              </w:rPr>
              <w:t>/MU</w:t>
            </w:r>
            <w:r>
              <w:rPr>
                <w:color w:val="000000"/>
                <w:sz w:val="18"/>
                <w:szCs w:val="18"/>
              </w:rPr>
              <w:t>-MIMO with rank adaptation</w:t>
            </w:r>
          </w:p>
          <w:p>
            <w:pPr>
              <w:spacing w:after="0"/>
              <w:rPr>
                <w:color w:val="000000"/>
                <w:sz w:val="18"/>
                <w:szCs w:val="18"/>
              </w:rPr>
            </w:pPr>
            <w:r>
              <w:rPr>
                <w:color w:val="000000"/>
                <w:sz w:val="18"/>
                <w:szCs w:val="18"/>
              </w:rPr>
              <w:t>Maximum rank = 4 per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pPr>
              <w:spacing w:after="0"/>
              <w:rPr>
                <w:color w:val="000000"/>
                <w:sz w:val="18"/>
                <w:szCs w:val="18"/>
              </w:rPr>
            </w:pPr>
            <w:r>
              <w:rPr>
                <w:rFonts w:hint="eastAsia"/>
                <w:color w:val="000000"/>
                <w:sz w:val="18"/>
                <w:szCs w:val="18"/>
              </w:rPr>
              <w:t xml:space="preserve">5%-ile and </w:t>
            </w:r>
            <w:r>
              <w:rPr>
                <w:color w:val="000000"/>
                <w:sz w:val="18"/>
                <w:szCs w:val="18"/>
              </w:rPr>
              <w:t>Average UPT</w:t>
            </w:r>
          </w:p>
        </w:tc>
      </w:tr>
    </w:tbl>
    <w:p>
      <w:pPr>
        <w:rPr>
          <w:bCs/>
          <w:szCs w:val="20"/>
        </w:rPr>
      </w:pPr>
    </w:p>
    <w:p>
      <w:pPr>
        <w:snapToGrid w:val="0"/>
        <w:spacing w:before="72" w:beforeLines="30" w:after="72" w:afterLines="30" w:line="288" w:lineRule="auto"/>
        <w:jc w:val="center"/>
        <w:rPr>
          <w:rFonts w:eastAsia="微软雅黑"/>
          <w:szCs w:val="20"/>
          <w:u w:val="single"/>
        </w:rPr>
      </w:pPr>
      <w:r>
        <w:rPr>
          <w:rFonts w:eastAsia="微软雅黑"/>
          <w:b/>
          <w:szCs w:val="20"/>
        </w:rPr>
        <w:t>Table</w:t>
      </w:r>
      <w:r>
        <w:rPr>
          <w:rFonts w:hint="eastAsia" w:eastAsia="微软雅黑"/>
          <w:b/>
          <w:szCs w:val="20"/>
        </w:rPr>
        <w:t xml:space="preserve"> 3</w:t>
      </w:r>
      <w:r>
        <w:rPr>
          <w:rFonts w:eastAsia="微软雅黑"/>
          <w:szCs w:val="20"/>
        </w:rPr>
        <w:t xml:space="preserve"> SLS evaluation assumption for </w:t>
      </w:r>
      <w:r>
        <w:rPr>
          <w:rFonts w:hint="eastAsia" w:eastAsia="微软雅黑"/>
          <w:szCs w:val="20"/>
        </w:rPr>
        <w:t>CRIs-based CSI reporting for hybrid beamforming</w:t>
      </w:r>
    </w:p>
    <w:tbl>
      <w:tblPr>
        <w:tblStyle w:val="24"/>
        <w:tblW w:w="7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2"/>
        <w:gridCol w:w="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3392" w:type="dxa"/>
            <w:shd w:val="clear" w:color="000000" w:fill="BEBEBE" w:themeFill="background1" w:themeFillShade="BF"/>
            <w:noWrap/>
            <w:vAlign w:val="center"/>
          </w:tcPr>
          <w:p>
            <w:pPr>
              <w:spacing w:after="0"/>
              <w:jc w:val="center"/>
              <w:rPr>
                <w:b/>
                <w:bCs/>
                <w:color w:val="000000"/>
                <w:sz w:val="18"/>
                <w:szCs w:val="18"/>
              </w:rPr>
            </w:pPr>
            <w:r>
              <w:rPr>
                <w:b/>
                <w:bCs/>
                <w:color w:val="000000"/>
                <w:sz w:val="18"/>
                <w:szCs w:val="18"/>
              </w:rPr>
              <w:t>Parameter</w:t>
            </w:r>
          </w:p>
        </w:tc>
        <w:tc>
          <w:tcPr>
            <w:tcW w:w="4504" w:type="dxa"/>
            <w:shd w:val="clear" w:color="000000" w:fill="BEBEBE" w:themeFill="background1" w:themeFillShade="BF"/>
            <w:noWrap/>
            <w:vAlign w:val="center"/>
          </w:tcPr>
          <w:p>
            <w:pPr>
              <w:spacing w:after="0"/>
              <w:jc w:val="center"/>
              <w:rPr>
                <w:b/>
                <w:bCs/>
                <w:color w:val="000000"/>
                <w:sz w:val="18"/>
                <w:szCs w:val="18"/>
              </w:rPr>
            </w:pPr>
            <w:r>
              <w:rPr>
                <w:b/>
                <w:bCs/>
                <w:color w:val="000000"/>
                <w:sz w:val="18"/>
                <w:szCs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Carrier Frequency</w:t>
            </w:r>
          </w:p>
        </w:tc>
        <w:tc>
          <w:tcPr>
            <w:tcW w:w="4504" w:type="dxa"/>
            <w:shd w:val="clear" w:color="auto" w:fill="auto"/>
            <w:noWrap/>
            <w:vAlign w:val="center"/>
          </w:tcPr>
          <w:p>
            <w:pPr>
              <w:spacing w:after="0"/>
              <w:rPr>
                <w:color w:val="000000"/>
                <w:sz w:val="18"/>
                <w:szCs w:val="18"/>
              </w:rPr>
            </w:pPr>
            <w:r>
              <w:rPr>
                <w:rFonts w:hint="eastAsia"/>
                <w:color w:val="000000"/>
                <w:sz w:val="18"/>
                <w:szCs w:val="18"/>
              </w:rPr>
              <w:t>6</w:t>
            </w:r>
            <w:r>
              <w:rPr>
                <w:color w:val="000000"/>
                <w:sz w:val="18"/>
                <w:szCs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pPr>
              <w:spacing w:after="0"/>
              <w:rPr>
                <w:color w:val="000000"/>
                <w:sz w:val="18"/>
                <w:szCs w:val="18"/>
              </w:rPr>
            </w:pPr>
            <w:r>
              <w:rPr>
                <w:color w:val="000000"/>
                <w:sz w:val="18"/>
                <w:szCs w:val="18"/>
              </w:rPr>
              <w:t>According to the TR 38.901</w:t>
            </w:r>
          </w:p>
          <w:p>
            <w:pPr>
              <w:pStyle w:val="45"/>
              <w:rPr>
                <w:rFonts w:ascii="Times New Roman" w:hAnsi="Times New Roman"/>
                <w:color w:val="000000"/>
                <w:szCs w:val="18"/>
                <w:lang w:val="en-US" w:eastAsia="zh-CN"/>
              </w:rPr>
            </w:pPr>
            <w:r>
              <w:rPr>
                <w:rFonts w:ascii="Times New Roman" w:hAnsi="Times New Roman"/>
                <w:color w:val="000000"/>
                <w:szCs w:val="18"/>
                <w:lang w:eastAsia="ja-JP"/>
              </w:rPr>
              <w:t>3D UM</w:t>
            </w:r>
            <w:r>
              <w:rPr>
                <w:rFonts w:hint="eastAsia" w:ascii="Times New Roman" w:hAnsi="Times New Roman"/>
                <w:color w:val="000000"/>
                <w:szCs w:val="18"/>
                <w:lang w:val="en-US" w:eastAsia="zh-CN"/>
              </w:rPr>
              <w:t>i  ISD=200m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Antenna setup and port layouts at gNB</w:t>
            </w:r>
          </w:p>
        </w:tc>
        <w:tc>
          <w:tcPr>
            <w:tcW w:w="4504" w:type="dxa"/>
            <w:shd w:val="clear" w:color="auto" w:fill="auto"/>
            <w:vAlign w:val="center"/>
          </w:tcPr>
          <w:p>
            <w:pPr>
              <w:spacing w:after="0"/>
              <w:rPr>
                <w:color w:val="000000"/>
                <w:sz w:val="18"/>
                <w:szCs w:val="18"/>
              </w:rPr>
            </w:pPr>
            <w:r>
              <w:rPr>
                <w:rFonts w:hint="eastAsia"/>
                <w:color w:val="000000"/>
                <w:sz w:val="18"/>
                <w:szCs w:val="18"/>
              </w:rPr>
              <w:t xml:space="preserve">- 32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4</w:t>
            </w:r>
            <w:r>
              <w:rPr>
                <w:rFonts w:eastAsia="Malgun Gothic"/>
                <w:color w:val="000000"/>
                <w:kern w:val="24"/>
                <w:sz w:val="18"/>
                <w:szCs w:val="18"/>
                <w:lang w:val="sv-SE"/>
              </w:rPr>
              <w:t>,</w:t>
            </w:r>
            <w:r>
              <w:rPr>
                <w:rFonts w:hint="eastAsia"/>
                <w:color w:val="000000"/>
                <w:kern w:val="24"/>
                <w:sz w:val="18"/>
                <w:szCs w:val="18"/>
              </w:rPr>
              <w:t>24</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4</w:t>
            </w:r>
            <w:r>
              <w:rPr>
                <w:color w:val="000000"/>
                <w:kern w:val="24"/>
                <w:sz w:val="18"/>
                <w:szCs w:val="18"/>
              </w:rPr>
              <w:t>,</w:t>
            </w:r>
            <w:r>
              <w:rPr>
                <w:rFonts w:hint="eastAsia"/>
                <w:color w:val="000000"/>
                <w:kern w:val="24"/>
                <w:sz w:val="18"/>
                <w:szCs w:val="18"/>
              </w:rPr>
              <w:t>4</w:t>
            </w:r>
            <w:r>
              <w:rPr>
                <w:color w:val="000000"/>
                <w:sz w:val="18"/>
                <w:szCs w:val="18"/>
              </w:rPr>
              <w:t>)</w:t>
            </w:r>
          </w:p>
          <w:p>
            <w:pPr>
              <w:spacing w:after="0"/>
              <w:rPr>
                <w:color w:val="000000"/>
                <w:sz w:val="18"/>
                <w:szCs w:val="18"/>
              </w:rPr>
            </w:pPr>
            <w:r>
              <w:rPr>
                <w:color w:val="000000"/>
                <w:sz w:val="18"/>
                <w:szCs w:val="18"/>
              </w:rPr>
              <w:t>(dH, dV) = (0.5,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Antenna setup and port layouts at UE</w:t>
            </w:r>
          </w:p>
        </w:tc>
        <w:tc>
          <w:tcPr>
            <w:tcW w:w="4504" w:type="dxa"/>
            <w:shd w:val="clear" w:color="auto" w:fill="auto"/>
            <w:noWrap/>
            <w:vAlign w:val="center"/>
          </w:tcPr>
          <w:p>
            <w:pPr>
              <w:spacing w:after="0"/>
              <w:rPr>
                <w:color w:val="000000"/>
                <w:sz w:val="18"/>
                <w:szCs w:val="18"/>
              </w:rPr>
            </w:pPr>
            <w:r>
              <w:rPr>
                <w:color w:val="000000"/>
                <w:sz w:val="18"/>
                <w:szCs w:val="18"/>
              </w:rPr>
              <w:t>(M, N, P, Mg, Ng, Mp, Np) =(1,2,2,1,1,1,2)</w:t>
            </w:r>
          </w:p>
          <w:p>
            <w:pPr>
              <w:spacing w:after="0"/>
              <w:rPr>
                <w:color w:val="000000"/>
                <w:sz w:val="18"/>
                <w:szCs w:val="18"/>
              </w:rPr>
            </w:pPr>
            <w:r>
              <w:rPr>
                <w:color w:val="000000"/>
                <w:sz w:val="18"/>
                <w:szCs w:val="18"/>
              </w:rPr>
              <w:t>(dH, dV) = (0.5,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Modulation</w:t>
            </w:r>
          </w:p>
        </w:tc>
        <w:tc>
          <w:tcPr>
            <w:tcW w:w="4504" w:type="dxa"/>
            <w:shd w:val="clear" w:color="auto" w:fill="auto"/>
            <w:noWrap/>
            <w:vAlign w:val="center"/>
          </w:tcPr>
          <w:p>
            <w:pPr>
              <w:spacing w:after="0"/>
              <w:rPr>
                <w:color w:val="000000"/>
                <w:sz w:val="18"/>
                <w:szCs w:val="18"/>
              </w:rPr>
            </w:pPr>
            <w:r>
              <w:rPr>
                <w:color w:val="000000"/>
                <w:sz w:val="18"/>
                <w:szCs w:val="18"/>
              </w:rPr>
              <w:t xml:space="preserve">Up to 256QAM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Tx power</w:t>
            </w:r>
          </w:p>
        </w:tc>
        <w:tc>
          <w:tcPr>
            <w:tcW w:w="4504" w:type="dxa"/>
            <w:shd w:val="clear" w:color="auto" w:fill="auto"/>
            <w:noWrap/>
            <w:vAlign w:val="center"/>
          </w:tcPr>
          <w:p>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pPr>
              <w:spacing w:after="0"/>
              <w:rPr>
                <w:color w:val="000000"/>
                <w:sz w:val="18"/>
                <w:szCs w:val="18"/>
              </w:rPr>
            </w:pPr>
            <w:r>
              <w:rPr>
                <w:color w:val="000000"/>
                <w:sz w:val="18"/>
                <w:szCs w:val="18"/>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antenna height</w:t>
            </w:r>
          </w:p>
        </w:tc>
        <w:tc>
          <w:tcPr>
            <w:tcW w:w="4504" w:type="dxa"/>
            <w:shd w:val="clear" w:color="auto" w:fill="auto"/>
            <w:noWrap/>
            <w:vAlign w:val="center"/>
          </w:tcPr>
          <w:p>
            <w:pPr>
              <w:spacing w:after="0"/>
              <w:rPr>
                <w:color w:val="000000"/>
                <w:sz w:val="18"/>
                <w:szCs w:val="18"/>
              </w:rPr>
            </w:pPr>
            <w:r>
              <w:rPr>
                <w:color w:val="000000"/>
                <w:sz w:val="18"/>
                <w:szCs w:val="18"/>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gNB receiver noise figure</w:t>
            </w:r>
          </w:p>
        </w:tc>
        <w:tc>
          <w:tcPr>
            <w:tcW w:w="4504" w:type="dxa"/>
            <w:shd w:val="clear" w:color="auto" w:fill="auto"/>
            <w:noWrap/>
            <w:vAlign w:val="center"/>
          </w:tcPr>
          <w:p>
            <w:pPr>
              <w:spacing w:after="0"/>
              <w:rPr>
                <w:color w:val="000000"/>
                <w:sz w:val="18"/>
                <w:szCs w:val="18"/>
              </w:rPr>
            </w:pPr>
            <w:r>
              <w:rPr>
                <w:color w:val="000000"/>
                <w:sz w:val="18"/>
                <w:szCs w:val="18"/>
                <w:lang w:eastAsia="ja-JP"/>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receiver noise figure</w:t>
            </w:r>
          </w:p>
        </w:tc>
        <w:tc>
          <w:tcPr>
            <w:tcW w:w="4504" w:type="dxa"/>
            <w:shd w:val="clear" w:color="auto" w:fill="auto"/>
            <w:noWrap/>
            <w:vAlign w:val="center"/>
          </w:tcPr>
          <w:p>
            <w:pPr>
              <w:spacing w:after="0"/>
              <w:rPr>
                <w:color w:val="000000"/>
                <w:sz w:val="18"/>
                <w:szCs w:val="18"/>
              </w:rPr>
            </w:pPr>
            <w:r>
              <w:rPr>
                <w:color w:val="000000"/>
                <w:sz w:val="18"/>
                <w:szCs w:val="18"/>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Numerology</w:t>
            </w:r>
          </w:p>
        </w:tc>
        <w:tc>
          <w:tcPr>
            <w:tcW w:w="4504" w:type="dxa"/>
            <w:shd w:val="clear" w:color="auto" w:fill="auto"/>
            <w:noWrap/>
            <w:vAlign w:val="center"/>
          </w:tcPr>
          <w:p>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Bandwidth</w:t>
            </w:r>
          </w:p>
        </w:tc>
        <w:tc>
          <w:tcPr>
            <w:tcW w:w="4504" w:type="dxa"/>
            <w:shd w:val="clear" w:color="auto" w:fill="auto"/>
            <w:noWrap/>
            <w:vAlign w:val="center"/>
          </w:tcPr>
          <w:p>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pPr>
              <w:spacing w:after="0"/>
              <w:rPr>
                <w:color w:val="000000"/>
                <w:sz w:val="18"/>
                <w:szCs w:val="18"/>
              </w:rPr>
            </w:pPr>
            <w:r>
              <w:rPr>
                <w:color w:val="000000"/>
                <w:sz w:val="18"/>
                <w:szCs w:val="18"/>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Network Layout</w:t>
            </w:r>
          </w:p>
        </w:tc>
        <w:tc>
          <w:tcPr>
            <w:tcW w:w="4504" w:type="dxa"/>
            <w:shd w:val="clear" w:color="auto" w:fill="auto"/>
            <w:vAlign w:val="center"/>
          </w:tcPr>
          <w:p>
            <w:pPr>
              <w:spacing w:after="0"/>
              <w:rPr>
                <w:color w:val="000000"/>
                <w:sz w:val="18"/>
                <w:szCs w:val="18"/>
              </w:rPr>
            </w:pPr>
            <w:r>
              <w:rPr>
                <w:rFonts w:hint="eastAsia"/>
                <w:color w:val="000000"/>
                <w:sz w:val="18"/>
                <w:szCs w:val="18"/>
              </w:rPr>
              <w:t>48</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PMI/CQI feedback</w:t>
            </w:r>
          </w:p>
        </w:tc>
        <w:tc>
          <w:tcPr>
            <w:tcW w:w="4504" w:type="dxa"/>
            <w:shd w:val="clear" w:color="auto" w:fill="auto"/>
            <w:vAlign w:val="center"/>
          </w:tcPr>
          <w:p>
            <w:pPr>
              <w:spacing w:after="0"/>
              <w:rPr>
                <w:color w:val="000000"/>
                <w:sz w:val="18"/>
                <w:szCs w:val="18"/>
              </w:rPr>
            </w:pPr>
            <w:r>
              <w:rPr>
                <w:color w:val="000000"/>
                <w:sz w:val="18"/>
                <w:szCs w:val="18"/>
              </w:rPr>
              <w:t>Subband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UE distribution</w:t>
            </w:r>
          </w:p>
        </w:tc>
        <w:tc>
          <w:tcPr>
            <w:tcW w:w="4504" w:type="dxa"/>
            <w:shd w:val="clear" w:color="auto" w:fill="auto"/>
            <w:vAlign w:val="center"/>
          </w:tcPr>
          <w:p>
            <w:pPr>
              <w:spacing w:after="0"/>
              <w:rPr>
                <w:color w:val="000000"/>
                <w:sz w:val="18"/>
                <w:szCs w:val="18"/>
              </w:rPr>
            </w:pPr>
            <w:r>
              <w:rPr>
                <w:rFonts w:hint="eastAsia"/>
                <w:color w:val="000000"/>
                <w:sz w:val="18"/>
                <w:szCs w:val="18"/>
              </w:rPr>
              <w:t>20</w:t>
            </w:r>
            <w:r>
              <w:rPr>
                <w:color w:val="000000"/>
                <w:sz w:val="18"/>
                <w:szCs w:val="18"/>
              </w:rPr>
              <w:t>% outdoor (30km/h)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Traffic model</w:t>
            </w:r>
          </w:p>
        </w:tc>
        <w:tc>
          <w:tcPr>
            <w:tcW w:w="4504" w:type="dxa"/>
            <w:shd w:val="clear" w:color="auto" w:fill="auto"/>
            <w:vAlign w:val="center"/>
          </w:tcPr>
          <w:p>
            <w:pPr>
              <w:spacing w:after="0"/>
              <w:rPr>
                <w:color w:val="000000"/>
                <w:sz w:val="18"/>
                <w:szCs w:val="18"/>
              </w:rPr>
            </w:pPr>
            <w:r>
              <w:rPr>
                <w:rFonts w:hint="eastAsia"/>
                <w:color w:val="000000"/>
                <w:sz w:val="18"/>
                <w:szCs w:val="18"/>
              </w:rPr>
              <w:t>FTP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pPr>
              <w:spacing w:after="0"/>
              <w:rPr>
                <w:color w:val="000000"/>
                <w:sz w:val="18"/>
                <w:szCs w:val="18"/>
              </w:rPr>
            </w:pPr>
            <w:r>
              <w:rPr>
                <w:rFonts w:hint="eastAsia"/>
                <w:color w:val="000000"/>
                <w:sz w:val="18"/>
                <w:szCs w:val="18"/>
              </w:rPr>
              <w:t>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MIMO scheme</w:t>
            </w:r>
          </w:p>
        </w:tc>
        <w:tc>
          <w:tcPr>
            <w:tcW w:w="4504" w:type="dxa"/>
            <w:shd w:val="clear" w:color="auto" w:fill="auto"/>
            <w:vAlign w:val="center"/>
          </w:tcPr>
          <w:p>
            <w:pPr>
              <w:spacing w:after="0"/>
              <w:rPr>
                <w:color w:val="000000"/>
                <w:sz w:val="18"/>
                <w:szCs w:val="18"/>
              </w:rPr>
            </w:pPr>
            <w:r>
              <w:rPr>
                <w:rFonts w:hint="eastAsia"/>
                <w:color w:val="000000"/>
                <w:sz w:val="18"/>
                <w:szCs w:val="18"/>
              </w:rPr>
              <w:t>S</w:t>
            </w:r>
            <w:r>
              <w:rPr>
                <w:color w:val="000000"/>
                <w:sz w:val="18"/>
                <w:szCs w:val="18"/>
              </w:rPr>
              <w:t>U</w:t>
            </w:r>
            <w:r>
              <w:rPr>
                <w:rFonts w:hint="eastAsia"/>
                <w:color w:val="000000"/>
                <w:sz w:val="18"/>
                <w:szCs w:val="18"/>
              </w:rPr>
              <w:t>/MU</w:t>
            </w:r>
            <w:r>
              <w:rPr>
                <w:color w:val="000000"/>
                <w:sz w:val="18"/>
                <w:szCs w:val="18"/>
              </w:rPr>
              <w:t>-MIMO with rank adaptation</w:t>
            </w:r>
          </w:p>
          <w:p>
            <w:pPr>
              <w:spacing w:after="0"/>
              <w:rPr>
                <w:color w:val="000000"/>
                <w:sz w:val="18"/>
                <w:szCs w:val="18"/>
              </w:rPr>
            </w:pPr>
            <w:r>
              <w:rPr>
                <w:color w:val="000000"/>
                <w:sz w:val="18"/>
                <w:szCs w:val="18"/>
              </w:rPr>
              <w:t>Maximum rank = 4 per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92" w:type="dxa"/>
            <w:shd w:val="clear" w:color="auto" w:fill="auto"/>
            <w:vAlign w:val="center"/>
          </w:tcPr>
          <w:p>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pPr>
              <w:spacing w:after="0"/>
              <w:rPr>
                <w:color w:val="000000"/>
                <w:sz w:val="18"/>
                <w:szCs w:val="18"/>
              </w:rPr>
            </w:pPr>
            <w:r>
              <w:rPr>
                <w:rFonts w:hint="eastAsia"/>
                <w:color w:val="000000"/>
                <w:sz w:val="18"/>
                <w:szCs w:val="18"/>
              </w:rPr>
              <w:t xml:space="preserve">5%-ile and </w:t>
            </w:r>
            <w:r>
              <w:rPr>
                <w:color w:val="000000"/>
                <w:sz w:val="18"/>
                <w:szCs w:val="18"/>
              </w:rPr>
              <w:t>Average UPT</w:t>
            </w:r>
          </w:p>
        </w:tc>
      </w:tr>
    </w:tbl>
    <w:p>
      <w:pPr>
        <w:rPr>
          <w:bCs/>
          <w:szCs w:val="20"/>
        </w:rPr>
      </w:pPr>
    </w:p>
    <w:p>
      <w:pPr>
        <w:jc w:val="center"/>
      </w:pPr>
      <w:r>
        <w:rPr>
          <w:rFonts w:hint="eastAsia"/>
          <w:b/>
          <w:bCs/>
        </w:rPr>
        <w:t>Table 4</w:t>
      </w:r>
      <w:r>
        <w:rPr>
          <w:rFonts w:hint="eastAsia"/>
        </w:rPr>
        <w:t xml:space="preserve"> SLS assumptions for the performance evaluation of inter-TRP time/frequency calibration</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8"/>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shd w:val="clear" w:color="auto" w:fill="BEBEBE" w:themeFill="background1" w:themeFillShade="BF"/>
            <w:vAlign w:val="center"/>
          </w:tcPr>
          <w:p>
            <w:pPr>
              <w:spacing w:after="0" w:line="240" w:lineRule="auto"/>
              <w:jc w:val="center"/>
            </w:pPr>
            <w:r>
              <w:rPr>
                <w:rFonts w:hint="eastAsia"/>
                <w:b/>
                <w:bCs/>
              </w:rPr>
              <w:t>Parameter</w:t>
            </w:r>
          </w:p>
        </w:tc>
        <w:tc>
          <w:tcPr>
            <w:tcW w:w="2223" w:type="dxa"/>
            <w:shd w:val="clear" w:color="auto" w:fill="BEBEBE" w:themeFill="background1" w:themeFillShade="BF"/>
            <w:vAlign w:val="center"/>
          </w:tcPr>
          <w:p>
            <w:pPr>
              <w:spacing w:after="0" w:line="240" w:lineRule="auto"/>
              <w:jc w:val="center"/>
              <w:rPr>
                <w:b/>
                <w:bCs/>
              </w:rPr>
            </w:pPr>
            <w:r>
              <w:rPr>
                <w:rFonts w:hint="eastAsia"/>
                <w:b/>
                <w:bC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Number of antenna ports</w:t>
            </w:r>
          </w:p>
        </w:tc>
        <w:tc>
          <w:tcPr>
            <w:tcW w:w="2223" w:type="dxa"/>
            <w:vAlign w:val="center"/>
          </w:tcPr>
          <w:p>
            <w:pPr>
              <w:spacing w:after="0" w:line="240" w:lineRule="auto"/>
              <w:jc w:val="center"/>
            </w:pPr>
            <w:r>
              <w:t>16T/4R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Number of TRPs</w:t>
            </w:r>
          </w:p>
        </w:tc>
        <w:tc>
          <w:tcPr>
            <w:tcW w:w="2223" w:type="dxa"/>
            <w:vAlign w:val="center"/>
          </w:tcPr>
          <w:p>
            <w:pPr>
              <w:spacing w:after="0" w:line="240" w:lineRule="auto"/>
              <w:jc w:val="center"/>
            </w:pPr>
            <w:r>
              <w:rPr>
                <w:rFonts w:hint="eastAsia"/>
              </w:rPr>
              <w:t>Up to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Carrier frequency</w:t>
            </w:r>
          </w:p>
        </w:tc>
        <w:tc>
          <w:tcPr>
            <w:tcW w:w="2223" w:type="dxa"/>
            <w:vAlign w:val="center"/>
          </w:tcPr>
          <w:p>
            <w:pPr>
              <w:spacing w:after="0" w:line="240" w:lineRule="auto"/>
              <w:jc w:val="center"/>
            </w:pPr>
            <w:r>
              <w:rPr>
                <w:rFonts w:hint="eastAsia"/>
              </w:rPr>
              <w:t>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Frequency bandwidth</w:t>
            </w:r>
          </w:p>
        </w:tc>
        <w:tc>
          <w:tcPr>
            <w:tcW w:w="2223" w:type="dxa"/>
            <w:vAlign w:val="center"/>
          </w:tcPr>
          <w:p>
            <w:pPr>
              <w:spacing w:after="0" w:line="240" w:lineRule="auto"/>
              <w:jc w:val="center"/>
            </w:pPr>
            <w:r>
              <w:t>52 RBs (10MHz)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t>Freq</w:t>
            </w:r>
            <w:r>
              <w:rPr>
                <w:rFonts w:hint="eastAsia"/>
              </w:rPr>
              <w:t>uency</w:t>
            </w:r>
            <w:r>
              <w:t xml:space="preserve"> sync</w:t>
            </w:r>
            <w:r>
              <w:rPr>
                <w:rFonts w:hint="eastAsia"/>
              </w:rPr>
              <w:t>hronization</w:t>
            </w:r>
            <w:r>
              <w:t xml:space="preserve"> error</w:t>
            </w:r>
          </w:p>
        </w:tc>
        <w:tc>
          <w:tcPr>
            <w:tcW w:w="2223" w:type="dxa"/>
            <w:vAlign w:val="center"/>
          </w:tcPr>
          <w:p>
            <w:pPr>
              <w:spacing w:after="0" w:line="240" w:lineRule="auto"/>
              <w:jc w:val="center"/>
            </w:pPr>
            <w:r>
              <w:t>0.01 ppm per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068" w:type="dxa"/>
            <w:vAlign w:val="center"/>
          </w:tcPr>
          <w:p>
            <w:pPr>
              <w:spacing w:after="0" w:line="240" w:lineRule="auto"/>
              <w:jc w:val="center"/>
            </w:pPr>
            <w:r>
              <w:rPr>
                <w:rFonts w:hint="eastAsia"/>
              </w:rPr>
              <w:t>Inter-site distance</w:t>
            </w:r>
          </w:p>
        </w:tc>
        <w:tc>
          <w:tcPr>
            <w:tcW w:w="2223" w:type="dxa"/>
            <w:vAlign w:val="center"/>
          </w:tcPr>
          <w:p>
            <w:pPr>
              <w:spacing w:after="0" w:line="240" w:lineRule="auto"/>
              <w:jc w:val="center"/>
            </w:pPr>
            <w: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068" w:type="dxa"/>
            <w:vAlign w:val="center"/>
          </w:tcPr>
          <w:p>
            <w:pPr>
              <w:spacing w:after="0" w:line="240" w:lineRule="auto"/>
              <w:jc w:val="center"/>
            </w:pPr>
            <w:r>
              <w:t xml:space="preserve">CSI-RS </w:t>
            </w:r>
            <w:r>
              <w:rPr>
                <w:rFonts w:hint="eastAsia"/>
              </w:rPr>
              <w:t>p</w:t>
            </w:r>
            <w:r>
              <w:t>eriodicity</w:t>
            </w:r>
          </w:p>
        </w:tc>
        <w:tc>
          <w:tcPr>
            <w:tcW w:w="2223" w:type="dxa"/>
            <w:vAlign w:val="center"/>
          </w:tcPr>
          <w:p>
            <w:pPr>
              <w:spacing w:after="0" w:line="240" w:lineRule="auto"/>
              <w:jc w:val="center"/>
            </w:pPr>
            <w:r>
              <w:t>5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068" w:type="dxa"/>
            <w:vAlign w:val="center"/>
          </w:tcPr>
          <w:p>
            <w:pPr>
              <w:spacing w:after="0" w:line="240" w:lineRule="auto"/>
              <w:jc w:val="center"/>
            </w:pPr>
            <w:r>
              <w:t>Feedback delay</w:t>
            </w:r>
          </w:p>
        </w:tc>
        <w:tc>
          <w:tcPr>
            <w:tcW w:w="2223" w:type="dxa"/>
            <w:vAlign w:val="center"/>
          </w:tcPr>
          <w:p>
            <w:pPr>
              <w:spacing w:after="0" w:line="240" w:lineRule="auto"/>
              <w:jc w:val="center"/>
            </w:pPr>
            <w:r>
              <w:t>4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068" w:type="dxa"/>
            <w:vAlign w:val="center"/>
          </w:tcPr>
          <w:p>
            <w:pPr>
              <w:spacing w:after="0" w:line="240" w:lineRule="auto"/>
              <w:jc w:val="center"/>
            </w:pPr>
            <w:r>
              <w:t>CSI subband</w:t>
            </w:r>
          </w:p>
        </w:tc>
        <w:tc>
          <w:tcPr>
            <w:tcW w:w="2223" w:type="dxa"/>
            <w:vAlign w:val="center"/>
          </w:tcPr>
          <w:p>
            <w:pPr>
              <w:spacing w:after="0" w:line="240" w:lineRule="auto"/>
              <w:jc w:val="center"/>
            </w:pPr>
            <w:r>
              <w:t>4 RB &amp; R=2</w:t>
            </w:r>
          </w:p>
        </w:tc>
      </w:tr>
    </w:tbl>
    <w:p>
      <w:pPr>
        <w:rPr>
          <w:bCs/>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Gulim">
    <w:altName w:val="Malgun Gothic"/>
    <w:panose1 w:val="020B0600000101010101"/>
    <w:charset w:val="81"/>
    <w:family w:val="swiss"/>
    <w:pitch w:val="default"/>
    <w:sig w:usb0="00000000" w:usb1="00000000"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CA0C9DF1"/>
    <w:multiLevelType w:val="singleLevel"/>
    <w:tmpl w:val="CA0C9DF1"/>
    <w:lvl w:ilvl="0" w:tentative="0">
      <w:start w:val="1"/>
      <w:numFmt w:val="bullet"/>
      <w:lvlText w:val="–"/>
      <w:lvlJc w:val="left"/>
      <w:pPr>
        <w:tabs>
          <w:tab w:val="left" w:pos="420"/>
        </w:tabs>
        <w:ind w:left="840" w:hanging="420"/>
      </w:pPr>
      <w:rPr>
        <w:rFonts w:hint="default" w:ascii="Times New Roman" w:hAnsi="Times New Roman" w:eastAsia="微软雅黑" w:cs="Times New Roman"/>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15DE172"/>
    <w:multiLevelType w:val="singleLevel"/>
    <w:tmpl w:val="115DE172"/>
    <w:lvl w:ilvl="0" w:tentative="0">
      <w:start w:val="1"/>
      <w:numFmt w:val="lowerLetter"/>
      <w:suff w:val="space"/>
      <w:lvlText w:val="(%1)"/>
      <w:lvlJc w:val="left"/>
    </w:lvl>
  </w:abstractNum>
  <w:abstractNum w:abstractNumId="5">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2A575B89"/>
    <w:multiLevelType w:val="multilevel"/>
    <w:tmpl w:val="2A575B89"/>
    <w:lvl w:ilvl="0" w:tentative="0">
      <w:start w:val="1"/>
      <w:numFmt w:val="bullet"/>
      <w:lvlText w:val="–"/>
      <w:lvlJc w:val="left"/>
      <w:pPr>
        <w:tabs>
          <w:tab w:val="left" w:pos="420"/>
        </w:tabs>
        <w:ind w:left="840" w:hanging="420"/>
      </w:pPr>
      <w:rPr>
        <w:rFonts w:hint="default" w:ascii="Times New Roman" w:hAnsi="Times New Roman" w:eastAsia="微软雅黑" w:cs="Times New Roman"/>
      </w:rPr>
    </w:lvl>
    <w:lvl w:ilvl="1" w:tentative="0">
      <w:start w:val="1"/>
      <w:numFmt w:val="bullet"/>
      <w:lvlText w:val="□"/>
      <w:lvlJc w:val="left"/>
      <w:pPr>
        <w:tabs>
          <w:tab w:val="left" w:pos="840"/>
        </w:tabs>
        <w:ind w:left="1260" w:hanging="420"/>
      </w:pPr>
      <w:rPr>
        <w:rFonts w:hint="default" w:ascii="Times New Roman" w:hAnsi="Times New Roman" w:cs="Times New Roman"/>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426B4A38"/>
    <w:multiLevelType w:val="multilevel"/>
    <w:tmpl w:val="426B4A38"/>
    <w:lvl w:ilvl="0" w:tentative="0">
      <w:start w:val="1"/>
      <w:numFmt w:val="decimalZero"/>
      <w:pStyle w:val="128"/>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8">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10">
    <w:nsid w:val="580465BD"/>
    <w:multiLevelType w:val="multilevel"/>
    <w:tmpl w:val="580465BD"/>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E93823A"/>
    <w:multiLevelType w:val="singleLevel"/>
    <w:tmpl w:val="5E93823A"/>
    <w:lvl w:ilvl="0" w:tentative="0">
      <w:start w:val="1"/>
      <w:numFmt w:val="decimal"/>
      <w:suff w:val="space"/>
      <w:lvlText w:val="[%1]"/>
      <w:lvlJc w:val="left"/>
    </w:lvl>
  </w:abstractNum>
  <w:abstractNum w:abstractNumId="12">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2"/>
  </w:num>
  <w:num w:numId="3">
    <w:abstractNumId w:val="13"/>
  </w:num>
  <w:num w:numId="4">
    <w:abstractNumId w:val="3"/>
  </w:num>
  <w:num w:numId="5">
    <w:abstractNumId w:val="12"/>
  </w:num>
  <w:num w:numId="6">
    <w:abstractNumId w:val="9"/>
  </w:num>
  <w:num w:numId="7">
    <w:abstractNumId w:val="7"/>
  </w:num>
  <w:num w:numId="8">
    <w:abstractNumId w:val="5"/>
  </w:num>
  <w:num w:numId="9">
    <w:abstractNumId w:val="14"/>
  </w:num>
  <w:num w:numId="10">
    <w:abstractNumId w:val="6"/>
  </w:num>
  <w:num w:numId="11">
    <w:abstractNumId w:val="10"/>
  </w:num>
  <w:num w:numId="12">
    <w:abstractNumId w:val="8"/>
  </w:num>
  <w:num w:numId="13">
    <w:abstractNumId w:val="1"/>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49F"/>
    <w:rsid w:val="000038B7"/>
    <w:rsid w:val="00003A61"/>
    <w:rsid w:val="000044E2"/>
    <w:rsid w:val="00004558"/>
    <w:rsid w:val="000049AC"/>
    <w:rsid w:val="00004ED1"/>
    <w:rsid w:val="000051C4"/>
    <w:rsid w:val="000054CF"/>
    <w:rsid w:val="0000557C"/>
    <w:rsid w:val="000055D1"/>
    <w:rsid w:val="00005762"/>
    <w:rsid w:val="000057B9"/>
    <w:rsid w:val="000058E6"/>
    <w:rsid w:val="00005DDF"/>
    <w:rsid w:val="000062AC"/>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2D"/>
    <w:rsid w:val="00032289"/>
    <w:rsid w:val="000322B0"/>
    <w:rsid w:val="000326FB"/>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8"/>
    <w:rsid w:val="00037F59"/>
    <w:rsid w:val="000402A0"/>
    <w:rsid w:val="000412E1"/>
    <w:rsid w:val="00041506"/>
    <w:rsid w:val="000415BF"/>
    <w:rsid w:val="00041C2C"/>
    <w:rsid w:val="00041CAB"/>
    <w:rsid w:val="00041CBB"/>
    <w:rsid w:val="00041E63"/>
    <w:rsid w:val="00041F46"/>
    <w:rsid w:val="00042295"/>
    <w:rsid w:val="00042A43"/>
    <w:rsid w:val="00042CEC"/>
    <w:rsid w:val="0004320D"/>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887"/>
    <w:rsid w:val="00052E16"/>
    <w:rsid w:val="00052E22"/>
    <w:rsid w:val="00052E69"/>
    <w:rsid w:val="0005301D"/>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DBF"/>
    <w:rsid w:val="00062F51"/>
    <w:rsid w:val="0006302F"/>
    <w:rsid w:val="000631EB"/>
    <w:rsid w:val="00063429"/>
    <w:rsid w:val="00063837"/>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924"/>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447"/>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E"/>
    <w:rsid w:val="00076CD3"/>
    <w:rsid w:val="0007723B"/>
    <w:rsid w:val="000775EA"/>
    <w:rsid w:val="000776AF"/>
    <w:rsid w:val="00077BF8"/>
    <w:rsid w:val="00077CAD"/>
    <w:rsid w:val="00077EB8"/>
    <w:rsid w:val="000800AF"/>
    <w:rsid w:val="000801BC"/>
    <w:rsid w:val="00080456"/>
    <w:rsid w:val="0008046A"/>
    <w:rsid w:val="00080A41"/>
    <w:rsid w:val="00080A89"/>
    <w:rsid w:val="00080BB6"/>
    <w:rsid w:val="0008126C"/>
    <w:rsid w:val="000816E9"/>
    <w:rsid w:val="000819A5"/>
    <w:rsid w:val="00081D69"/>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D13"/>
    <w:rsid w:val="00090080"/>
    <w:rsid w:val="000900C5"/>
    <w:rsid w:val="000902F8"/>
    <w:rsid w:val="000903CA"/>
    <w:rsid w:val="00090B8B"/>
    <w:rsid w:val="00090C79"/>
    <w:rsid w:val="00090D90"/>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87E"/>
    <w:rsid w:val="00094955"/>
    <w:rsid w:val="0009551E"/>
    <w:rsid w:val="000955A4"/>
    <w:rsid w:val="00096998"/>
    <w:rsid w:val="00096B1B"/>
    <w:rsid w:val="00096FC1"/>
    <w:rsid w:val="00097059"/>
    <w:rsid w:val="000971F5"/>
    <w:rsid w:val="00097373"/>
    <w:rsid w:val="00097434"/>
    <w:rsid w:val="000975B0"/>
    <w:rsid w:val="0009766A"/>
    <w:rsid w:val="000976F6"/>
    <w:rsid w:val="00097842"/>
    <w:rsid w:val="000979FA"/>
    <w:rsid w:val="00097C34"/>
    <w:rsid w:val="000A0282"/>
    <w:rsid w:val="000A030E"/>
    <w:rsid w:val="000A06DC"/>
    <w:rsid w:val="000A0B41"/>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5C72"/>
    <w:rsid w:val="000B606A"/>
    <w:rsid w:val="000B6302"/>
    <w:rsid w:val="000B6354"/>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C7FB7"/>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3B"/>
    <w:rsid w:val="00105D9D"/>
    <w:rsid w:val="00106C91"/>
    <w:rsid w:val="00107894"/>
    <w:rsid w:val="00107BF2"/>
    <w:rsid w:val="00110751"/>
    <w:rsid w:val="00110916"/>
    <w:rsid w:val="0011099C"/>
    <w:rsid w:val="00110C23"/>
    <w:rsid w:val="00110FD1"/>
    <w:rsid w:val="0011172D"/>
    <w:rsid w:val="00111964"/>
    <w:rsid w:val="00111D4B"/>
    <w:rsid w:val="00112302"/>
    <w:rsid w:val="0011277E"/>
    <w:rsid w:val="00112C2B"/>
    <w:rsid w:val="00112E6C"/>
    <w:rsid w:val="00113195"/>
    <w:rsid w:val="00113610"/>
    <w:rsid w:val="00113731"/>
    <w:rsid w:val="00113749"/>
    <w:rsid w:val="0011377E"/>
    <w:rsid w:val="0011397A"/>
    <w:rsid w:val="0011409D"/>
    <w:rsid w:val="0011461E"/>
    <w:rsid w:val="001147FE"/>
    <w:rsid w:val="00114C04"/>
    <w:rsid w:val="00114D59"/>
    <w:rsid w:val="001151A8"/>
    <w:rsid w:val="00115268"/>
    <w:rsid w:val="001154E0"/>
    <w:rsid w:val="00115516"/>
    <w:rsid w:val="001157F5"/>
    <w:rsid w:val="0011584B"/>
    <w:rsid w:val="001166D4"/>
    <w:rsid w:val="00116B77"/>
    <w:rsid w:val="0011733A"/>
    <w:rsid w:val="001174BB"/>
    <w:rsid w:val="00117A4E"/>
    <w:rsid w:val="0012093B"/>
    <w:rsid w:val="00120B32"/>
    <w:rsid w:val="00120BE8"/>
    <w:rsid w:val="00121167"/>
    <w:rsid w:val="00121371"/>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B6F"/>
    <w:rsid w:val="001260DF"/>
    <w:rsid w:val="001266BA"/>
    <w:rsid w:val="00126766"/>
    <w:rsid w:val="00126B05"/>
    <w:rsid w:val="00126C3E"/>
    <w:rsid w:val="00126EA7"/>
    <w:rsid w:val="00127079"/>
    <w:rsid w:val="00127360"/>
    <w:rsid w:val="001279FE"/>
    <w:rsid w:val="001304F6"/>
    <w:rsid w:val="00130E18"/>
    <w:rsid w:val="00130FE5"/>
    <w:rsid w:val="001315A9"/>
    <w:rsid w:val="001317A7"/>
    <w:rsid w:val="00131A50"/>
    <w:rsid w:val="001321B3"/>
    <w:rsid w:val="00132346"/>
    <w:rsid w:val="00132581"/>
    <w:rsid w:val="00132A1F"/>
    <w:rsid w:val="001330A4"/>
    <w:rsid w:val="001330C4"/>
    <w:rsid w:val="001330ED"/>
    <w:rsid w:val="00133157"/>
    <w:rsid w:val="001332E9"/>
    <w:rsid w:val="00133A68"/>
    <w:rsid w:val="00133A6E"/>
    <w:rsid w:val="00133EF8"/>
    <w:rsid w:val="001340B2"/>
    <w:rsid w:val="00134454"/>
    <w:rsid w:val="001348A1"/>
    <w:rsid w:val="00134E3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9D4"/>
    <w:rsid w:val="001421E2"/>
    <w:rsid w:val="00142807"/>
    <w:rsid w:val="00142923"/>
    <w:rsid w:val="00142C07"/>
    <w:rsid w:val="00142F21"/>
    <w:rsid w:val="0014300D"/>
    <w:rsid w:val="0014310C"/>
    <w:rsid w:val="0014320C"/>
    <w:rsid w:val="00143300"/>
    <w:rsid w:val="001433AF"/>
    <w:rsid w:val="0014343D"/>
    <w:rsid w:val="001436C3"/>
    <w:rsid w:val="00143B33"/>
    <w:rsid w:val="00143EB9"/>
    <w:rsid w:val="0014425D"/>
    <w:rsid w:val="00144E7C"/>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F87"/>
    <w:rsid w:val="001617D4"/>
    <w:rsid w:val="00161E09"/>
    <w:rsid w:val="00162138"/>
    <w:rsid w:val="00162514"/>
    <w:rsid w:val="00162793"/>
    <w:rsid w:val="00162978"/>
    <w:rsid w:val="00162C48"/>
    <w:rsid w:val="00162D0E"/>
    <w:rsid w:val="00162D8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6CA"/>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4CD"/>
    <w:rsid w:val="001735EF"/>
    <w:rsid w:val="00173748"/>
    <w:rsid w:val="00173A32"/>
    <w:rsid w:val="00173AF4"/>
    <w:rsid w:val="0017400C"/>
    <w:rsid w:val="001740D8"/>
    <w:rsid w:val="0017436A"/>
    <w:rsid w:val="001744B9"/>
    <w:rsid w:val="001746CD"/>
    <w:rsid w:val="00174711"/>
    <w:rsid w:val="00174885"/>
    <w:rsid w:val="00174C3B"/>
    <w:rsid w:val="00175018"/>
    <w:rsid w:val="0017525F"/>
    <w:rsid w:val="00175977"/>
    <w:rsid w:val="00175D67"/>
    <w:rsid w:val="00175F47"/>
    <w:rsid w:val="0017626A"/>
    <w:rsid w:val="00176D05"/>
    <w:rsid w:val="00177475"/>
    <w:rsid w:val="001776EF"/>
    <w:rsid w:val="0017785F"/>
    <w:rsid w:val="001801D5"/>
    <w:rsid w:val="0018071A"/>
    <w:rsid w:val="00180C8E"/>
    <w:rsid w:val="00181252"/>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2CF"/>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47"/>
    <w:rsid w:val="001D3ED5"/>
    <w:rsid w:val="001D509B"/>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6D4"/>
    <w:rsid w:val="001E1705"/>
    <w:rsid w:val="001E1760"/>
    <w:rsid w:val="001E1A77"/>
    <w:rsid w:val="001E2890"/>
    <w:rsid w:val="001E2A05"/>
    <w:rsid w:val="001E2AD1"/>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425"/>
    <w:rsid w:val="0020059A"/>
    <w:rsid w:val="002007F6"/>
    <w:rsid w:val="002008F3"/>
    <w:rsid w:val="00200E3F"/>
    <w:rsid w:val="0020130A"/>
    <w:rsid w:val="002016F0"/>
    <w:rsid w:val="00201915"/>
    <w:rsid w:val="00201AF1"/>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01"/>
    <w:rsid w:val="00210674"/>
    <w:rsid w:val="002107FA"/>
    <w:rsid w:val="00210C30"/>
    <w:rsid w:val="00210D81"/>
    <w:rsid w:val="00210DE9"/>
    <w:rsid w:val="00211503"/>
    <w:rsid w:val="002119E2"/>
    <w:rsid w:val="00211D9F"/>
    <w:rsid w:val="00212021"/>
    <w:rsid w:val="002122A5"/>
    <w:rsid w:val="002123C7"/>
    <w:rsid w:val="002124EB"/>
    <w:rsid w:val="00212544"/>
    <w:rsid w:val="00212783"/>
    <w:rsid w:val="002129CC"/>
    <w:rsid w:val="00212ABB"/>
    <w:rsid w:val="0021300C"/>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C58"/>
    <w:rsid w:val="00217F6D"/>
    <w:rsid w:val="0022008A"/>
    <w:rsid w:val="002201BE"/>
    <w:rsid w:val="0022028A"/>
    <w:rsid w:val="0022060B"/>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5BF"/>
    <w:rsid w:val="002247A3"/>
    <w:rsid w:val="0022480F"/>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997"/>
    <w:rsid w:val="00233B0D"/>
    <w:rsid w:val="0023420A"/>
    <w:rsid w:val="002349CC"/>
    <w:rsid w:val="00234EDC"/>
    <w:rsid w:val="002357D4"/>
    <w:rsid w:val="0023589D"/>
    <w:rsid w:val="0023590E"/>
    <w:rsid w:val="00235E20"/>
    <w:rsid w:val="00236533"/>
    <w:rsid w:val="002373FD"/>
    <w:rsid w:val="00240285"/>
    <w:rsid w:val="0024092D"/>
    <w:rsid w:val="00240AEF"/>
    <w:rsid w:val="00240B53"/>
    <w:rsid w:val="00240C3D"/>
    <w:rsid w:val="00240EA6"/>
    <w:rsid w:val="002414DB"/>
    <w:rsid w:val="002417CB"/>
    <w:rsid w:val="00241BBD"/>
    <w:rsid w:val="00241E46"/>
    <w:rsid w:val="00242322"/>
    <w:rsid w:val="002424E5"/>
    <w:rsid w:val="0024289A"/>
    <w:rsid w:val="002429CA"/>
    <w:rsid w:val="002429EF"/>
    <w:rsid w:val="00242A00"/>
    <w:rsid w:val="00242E72"/>
    <w:rsid w:val="00242EBC"/>
    <w:rsid w:val="00243292"/>
    <w:rsid w:val="002439C6"/>
    <w:rsid w:val="00243C86"/>
    <w:rsid w:val="00244303"/>
    <w:rsid w:val="002444AE"/>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81"/>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0B5C"/>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BBF"/>
    <w:rsid w:val="00277C39"/>
    <w:rsid w:val="002801D5"/>
    <w:rsid w:val="0028042C"/>
    <w:rsid w:val="00280476"/>
    <w:rsid w:val="00280B7E"/>
    <w:rsid w:val="002811F3"/>
    <w:rsid w:val="00281283"/>
    <w:rsid w:val="00281355"/>
    <w:rsid w:val="0028167C"/>
    <w:rsid w:val="00281756"/>
    <w:rsid w:val="00281E57"/>
    <w:rsid w:val="002828EF"/>
    <w:rsid w:val="00282999"/>
    <w:rsid w:val="002829E5"/>
    <w:rsid w:val="00282A50"/>
    <w:rsid w:val="00282A7C"/>
    <w:rsid w:val="00282AF5"/>
    <w:rsid w:val="00282C0F"/>
    <w:rsid w:val="0028307C"/>
    <w:rsid w:val="0028387F"/>
    <w:rsid w:val="00283A20"/>
    <w:rsid w:val="002845C3"/>
    <w:rsid w:val="00284756"/>
    <w:rsid w:val="00284A55"/>
    <w:rsid w:val="00284B9F"/>
    <w:rsid w:val="00284C5C"/>
    <w:rsid w:val="00284DF3"/>
    <w:rsid w:val="00285287"/>
    <w:rsid w:val="00285621"/>
    <w:rsid w:val="00285C7A"/>
    <w:rsid w:val="00285F48"/>
    <w:rsid w:val="002860A4"/>
    <w:rsid w:val="00286516"/>
    <w:rsid w:val="002872DF"/>
    <w:rsid w:val="00287547"/>
    <w:rsid w:val="00287644"/>
    <w:rsid w:val="002876BF"/>
    <w:rsid w:val="00287FB3"/>
    <w:rsid w:val="00290010"/>
    <w:rsid w:val="0029055B"/>
    <w:rsid w:val="002909F3"/>
    <w:rsid w:val="00290B6A"/>
    <w:rsid w:val="0029112B"/>
    <w:rsid w:val="00291352"/>
    <w:rsid w:val="00291434"/>
    <w:rsid w:val="00291543"/>
    <w:rsid w:val="00292016"/>
    <w:rsid w:val="002922DD"/>
    <w:rsid w:val="00292621"/>
    <w:rsid w:val="002926A8"/>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6126"/>
    <w:rsid w:val="002965EA"/>
    <w:rsid w:val="00296C13"/>
    <w:rsid w:val="00296D40"/>
    <w:rsid w:val="00297100"/>
    <w:rsid w:val="0029739A"/>
    <w:rsid w:val="00297525"/>
    <w:rsid w:val="002975E2"/>
    <w:rsid w:val="00297B04"/>
    <w:rsid w:val="00297F72"/>
    <w:rsid w:val="002A025C"/>
    <w:rsid w:val="002A05CB"/>
    <w:rsid w:val="002A0EB4"/>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89"/>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33C"/>
    <w:rsid w:val="002B437A"/>
    <w:rsid w:val="002B453D"/>
    <w:rsid w:val="002B45CE"/>
    <w:rsid w:val="002B490E"/>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5C88"/>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892"/>
    <w:rsid w:val="00310A2A"/>
    <w:rsid w:val="00310ABF"/>
    <w:rsid w:val="00310F91"/>
    <w:rsid w:val="003112E2"/>
    <w:rsid w:val="0031142D"/>
    <w:rsid w:val="00311D21"/>
    <w:rsid w:val="00312202"/>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EA2"/>
    <w:rsid w:val="00314F17"/>
    <w:rsid w:val="0031501D"/>
    <w:rsid w:val="0031507B"/>
    <w:rsid w:val="0031539B"/>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45"/>
    <w:rsid w:val="003218F9"/>
    <w:rsid w:val="00321C6C"/>
    <w:rsid w:val="0032221A"/>
    <w:rsid w:val="00322642"/>
    <w:rsid w:val="00322C03"/>
    <w:rsid w:val="00322EB9"/>
    <w:rsid w:val="00323173"/>
    <w:rsid w:val="00323414"/>
    <w:rsid w:val="003237A4"/>
    <w:rsid w:val="00323910"/>
    <w:rsid w:val="00323BE3"/>
    <w:rsid w:val="00323E61"/>
    <w:rsid w:val="00324109"/>
    <w:rsid w:val="00324AEF"/>
    <w:rsid w:val="00324E55"/>
    <w:rsid w:val="00325130"/>
    <w:rsid w:val="003258CA"/>
    <w:rsid w:val="003259E2"/>
    <w:rsid w:val="00325A85"/>
    <w:rsid w:val="00325BAE"/>
    <w:rsid w:val="00325FC8"/>
    <w:rsid w:val="00326388"/>
    <w:rsid w:val="0032692E"/>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036"/>
    <w:rsid w:val="00333385"/>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4E8A"/>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2849"/>
    <w:rsid w:val="00363394"/>
    <w:rsid w:val="00363673"/>
    <w:rsid w:val="00363806"/>
    <w:rsid w:val="00363E97"/>
    <w:rsid w:val="00364480"/>
    <w:rsid w:val="00364B78"/>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1C3"/>
    <w:rsid w:val="00394630"/>
    <w:rsid w:val="00394B1C"/>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8F2"/>
    <w:rsid w:val="003C6A55"/>
    <w:rsid w:val="003C6B8A"/>
    <w:rsid w:val="003C6E3B"/>
    <w:rsid w:val="003C6F3B"/>
    <w:rsid w:val="003C704B"/>
    <w:rsid w:val="003C7250"/>
    <w:rsid w:val="003C7307"/>
    <w:rsid w:val="003C7562"/>
    <w:rsid w:val="003C7CBD"/>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AB"/>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5B8"/>
    <w:rsid w:val="003E36C7"/>
    <w:rsid w:val="003E39D6"/>
    <w:rsid w:val="003E3AE3"/>
    <w:rsid w:val="003E3B16"/>
    <w:rsid w:val="003E3C0F"/>
    <w:rsid w:val="003E3CE1"/>
    <w:rsid w:val="003E3E5C"/>
    <w:rsid w:val="003E3F0A"/>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ECE"/>
    <w:rsid w:val="003F1167"/>
    <w:rsid w:val="003F12D0"/>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38A"/>
    <w:rsid w:val="004005F4"/>
    <w:rsid w:val="00400B91"/>
    <w:rsid w:val="00400F2D"/>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0AF9"/>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5C3"/>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129"/>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2EA3"/>
    <w:rsid w:val="004434D9"/>
    <w:rsid w:val="0044354C"/>
    <w:rsid w:val="00443DA3"/>
    <w:rsid w:val="004440E8"/>
    <w:rsid w:val="00444283"/>
    <w:rsid w:val="0044460E"/>
    <w:rsid w:val="004449F8"/>
    <w:rsid w:val="00444A06"/>
    <w:rsid w:val="00444A4E"/>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28B"/>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6C8"/>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940"/>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3C"/>
    <w:rsid w:val="00472449"/>
    <w:rsid w:val="00472601"/>
    <w:rsid w:val="004729A3"/>
    <w:rsid w:val="00473170"/>
    <w:rsid w:val="004731EE"/>
    <w:rsid w:val="00473258"/>
    <w:rsid w:val="0047332D"/>
    <w:rsid w:val="00473720"/>
    <w:rsid w:val="004738DA"/>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A98"/>
    <w:rsid w:val="00482CD9"/>
    <w:rsid w:val="004837D0"/>
    <w:rsid w:val="00483D35"/>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946"/>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763"/>
    <w:rsid w:val="004A07E8"/>
    <w:rsid w:val="004A0CDF"/>
    <w:rsid w:val="004A1286"/>
    <w:rsid w:val="004A1659"/>
    <w:rsid w:val="004A16FF"/>
    <w:rsid w:val="004A1B6B"/>
    <w:rsid w:val="004A1D75"/>
    <w:rsid w:val="004A2082"/>
    <w:rsid w:val="004A253B"/>
    <w:rsid w:val="004A290C"/>
    <w:rsid w:val="004A294C"/>
    <w:rsid w:val="004A2D61"/>
    <w:rsid w:val="004A2DFE"/>
    <w:rsid w:val="004A382D"/>
    <w:rsid w:val="004A409B"/>
    <w:rsid w:val="004A436F"/>
    <w:rsid w:val="004A4693"/>
    <w:rsid w:val="004A4AF8"/>
    <w:rsid w:val="004A4BEE"/>
    <w:rsid w:val="004A4D62"/>
    <w:rsid w:val="004A4F1B"/>
    <w:rsid w:val="004A4F88"/>
    <w:rsid w:val="004A526D"/>
    <w:rsid w:val="004A58E1"/>
    <w:rsid w:val="004A5FBF"/>
    <w:rsid w:val="004A63E4"/>
    <w:rsid w:val="004A63EC"/>
    <w:rsid w:val="004A6661"/>
    <w:rsid w:val="004A6947"/>
    <w:rsid w:val="004A6E28"/>
    <w:rsid w:val="004A6F0E"/>
    <w:rsid w:val="004A701D"/>
    <w:rsid w:val="004A73AB"/>
    <w:rsid w:val="004A740D"/>
    <w:rsid w:val="004A7591"/>
    <w:rsid w:val="004A7E6B"/>
    <w:rsid w:val="004A7E83"/>
    <w:rsid w:val="004B00E1"/>
    <w:rsid w:val="004B0A55"/>
    <w:rsid w:val="004B0A56"/>
    <w:rsid w:val="004B0F75"/>
    <w:rsid w:val="004B108D"/>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42E"/>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1F55"/>
    <w:rsid w:val="004C2091"/>
    <w:rsid w:val="004C20B1"/>
    <w:rsid w:val="004C21B5"/>
    <w:rsid w:val="004C24D1"/>
    <w:rsid w:val="004C31CA"/>
    <w:rsid w:val="004C334D"/>
    <w:rsid w:val="004C3627"/>
    <w:rsid w:val="004C3C3E"/>
    <w:rsid w:val="004C3CBF"/>
    <w:rsid w:val="004C40B6"/>
    <w:rsid w:val="004C4549"/>
    <w:rsid w:val="004C464C"/>
    <w:rsid w:val="004C4732"/>
    <w:rsid w:val="004C4EA6"/>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51E"/>
    <w:rsid w:val="004D4633"/>
    <w:rsid w:val="004D4635"/>
    <w:rsid w:val="004D479E"/>
    <w:rsid w:val="004D4A1F"/>
    <w:rsid w:val="004D4D7D"/>
    <w:rsid w:val="004D584A"/>
    <w:rsid w:val="004D59CF"/>
    <w:rsid w:val="004D5AFD"/>
    <w:rsid w:val="004D5EF6"/>
    <w:rsid w:val="004D6455"/>
    <w:rsid w:val="004D6787"/>
    <w:rsid w:val="004D6A39"/>
    <w:rsid w:val="004D6F59"/>
    <w:rsid w:val="004D7258"/>
    <w:rsid w:val="004D764F"/>
    <w:rsid w:val="004D771C"/>
    <w:rsid w:val="004D7D26"/>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851"/>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0F50"/>
    <w:rsid w:val="004F16B7"/>
    <w:rsid w:val="004F27CF"/>
    <w:rsid w:val="004F283B"/>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4F"/>
    <w:rsid w:val="004F7395"/>
    <w:rsid w:val="004F76E2"/>
    <w:rsid w:val="004F7802"/>
    <w:rsid w:val="005004B8"/>
    <w:rsid w:val="0050068C"/>
    <w:rsid w:val="005009BE"/>
    <w:rsid w:val="00500F70"/>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4E59"/>
    <w:rsid w:val="005055AC"/>
    <w:rsid w:val="005055B6"/>
    <w:rsid w:val="00505AA9"/>
    <w:rsid w:val="00505C32"/>
    <w:rsid w:val="00505F81"/>
    <w:rsid w:val="00506343"/>
    <w:rsid w:val="005063DF"/>
    <w:rsid w:val="00506C49"/>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5EA1"/>
    <w:rsid w:val="00516093"/>
    <w:rsid w:val="0051659C"/>
    <w:rsid w:val="0051673C"/>
    <w:rsid w:val="005169BB"/>
    <w:rsid w:val="0051733D"/>
    <w:rsid w:val="0051787B"/>
    <w:rsid w:val="00517B87"/>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8EB"/>
    <w:rsid w:val="00524CB1"/>
    <w:rsid w:val="0052539D"/>
    <w:rsid w:val="00525461"/>
    <w:rsid w:val="005255A8"/>
    <w:rsid w:val="00525849"/>
    <w:rsid w:val="005258B9"/>
    <w:rsid w:val="00526027"/>
    <w:rsid w:val="005263E4"/>
    <w:rsid w:val="00526496"/>
    <w:rsid w:val="00526709"/>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3A4"/>
    <w:rsid w:val="00533EB1"/>
    <w:rsid w:val="0053420F"/>
    <w:rsid w:val="005342F6"/>
    <w:rsid w:val="005342FD"/>
    <w:rsid w:val="005344A6"/>
    <w:rsid w:val="00534502"/>
    <w:rsid w:val="005349D3"/>
    <w:rsid w:val="00534B5E"/>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1D5"/>
    <w:rsid w:val="00556204"/>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1B"/>
    <w:rsid w:val="005679D7"/>
    <w:rsid w:val="00567E33"/>
    <w:rsid w:val="00567FC3"/>
    <w:rsid w:val="00570114"/>
    <w:rsid w:val="005701A2"/>
    <w:rsid w:val="005704DC"/>
    <w:rsid w:val="00570B18"/>
    <w:rsid w:val="00570D8C"/>
    <w:rsid w:val="00571552"/>
    <w:rsid w:val="00571827"/>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AF0"/>
    <w:rsid w:val="00583545"/>
    <w:rsid w:val="005835F9"/>
    <w:rsid w:val="005838D4"/>
    <w:rsid w:val="00583DFD"/>
    <w:rsid w:val="00583F89"/>
    <w:rsid w:val="0058403F"/>
    <w:rsid w:val="005840E3"/>
    <w:rsid w:val="00584211"/>
    <w:rsid w:val="0058451D"/>
    <w:rsid w:val="005845D3"/>
    <w:rsid w:val="00584BF1"/>
    <w:rsid w:val="00584FC3"/>
    <w:rsid w:val="00585307"/>
    <w:rsid w:val="005856B1"/>
    <w:rsid w:val="005858B1"/>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AEC"/>
    <w:rsid w:val="00594BA2"/>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12B"/>
    <w:rsid w:val="005979F9"/>
    <w:rsid w:val="00597BFF"/>
    <w:rsid w:val="00597D10"/>
    <w:rsid w:val="00597F46"/>
    <w:rsid w:val="005A0007"/>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BF8"/>
    <w:rsid w:val="005B3E5F"/>
    <w:rsid w:val="005B4910"/>
    <w:rsid w:val="005B4A0C"/>
    <w:rsid w:val="005B4DBF"/>
    <w:rsid w:val="005B52B6"/>
    <w:rsid w:val="005B55E2"/>
    <w:rsid w:val="005B5770"/>
    <w:rsid w:val="005B59C1"/>
    <w:rsid w:val="005B5D09"/>
    <w:rsid w:val="005B630F"/>
    <w:rsid w:val="005B6439"/>
    <w:rsid w:val="005B64C3"/>
    <w:rsid w:val="005B6F71"/>
    <w:rsid w:val="005B7564"/>
    <w:rsid w:val="005B7CAD"/>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4B32"/>
    <w:rsid w:val="005C5238"/>
    <w:rsid w:val="005C5352"/>
    <w:rsid w:val="005C540D"/>
    <w:rsid w:val="005C55C3"/>
    <w:rsid w:val="005C55EF"/>
    <w:rsid w:val="005C5A44"/>
    <w:rsid w:val="005C5BBB"/>
    <w:rsid w:val="005C605F"/>
    <w:rsid w:val="005C65F4"/>
    <w:rsid w:val="005C6614"/>
    <w:rsid w:val="005C6641"/>
    <w:rsid w:val="005C6AA0"/>
    <w:rsid w:val="005C6C76"/>
    <w:rsid w:val="005C6E06"/>
    <w:rsid w:val="005C7302"/>
    <w:rsid w:val="005C767C"/>
    <w:rsid w:val="005C7A22"/>
    <w:rsid w:val="005C7ACC"/>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19A"/>
    <w:rsid w:val="005D7410"/>
    <w:rsid w:val="005D7454"/>
    <w:rsid w:val="005D7459"/>
    <w:rsid w:val="005E1060"/>
    <w:rsid w:val="005E106F"/>
    <w:rsid w:val="005E1BC5"/>
    <w:rsid w:val="005E1FF3"/>
    <w:rsid w:val="005E20F0"/>
    <w:rsid w:val="005E248C"/>
    <w:rsid w:val="005E2FB2"/>
    <w:rsid w:val="005E315F"/>
    <w:rsid w:val="005E3184"/>
    <w:rsid w:val="005E33CA"/>
    <w:rsid w:val="005E3787"/>
    <w:rsid w:val="005E37E6"/>
    <w:rsid w:val="005E3BC5"/>
    <w:rsid w:val="005E3CA5"/>
    <w:rsid w:val="005E3FAA"/>
    <w:rsid w:val="005E4359"/>
    <w:rsid w:val="005E4682"/>
    <w:rsid w:val="005E477E"/>
    <w:rsid w:val="005E48E3"/>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14"/>
    <w:rsid w:val="005F3BF6"/>
    <w:rsid w:val="005F3C68"/>
    <w:rsid w:val="005F3D59"/>
    <w:rsid w:val="005F40F7"/>
    <w:rsid w:val="005F410A"/>
    <w:rsid w:val="005F4283"/>
    <w:rsid w:val="005F441E"/>
    <w:rsid w:val="005F4539"/>
    <w:rsid w:val="005F45EB"/>
    <w:rsid w:val="005F48C7"/>
    <w:rsid w:val="005F4E3D"/>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434"/>
    <w:rsid w:val="00601689"/>
    <w:rsid w:val="006018DC"/>
    <w:rsid w:val="00601AD4"/>
    <w:rsid w:val="00601AD7"/>
    <w:rsid w:val="006021D2"/>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88E"/>
    <w:rsid w:val="00640D50"/>
    <w:rsid w:val="00640E5B"/>
    <w:rsid w:val="00641273"/>
    <w:rsid w:val="00641598"/>
    <w:rsid w:val="006422C8"/>
    <w:rsid w:val="006422DD"/>
    <w:rsid w:val="00642AA3"/>
    <w:rsid w:val="00642E2E"/>
    <w:rsid w:val="00642F0B"/>
    <w:rsid w:val="006433AF"/>
    <w:rsid w:val="0064346D"/>
    <w:rsid w:val="006436FC"/>
    <w:rsid w:val="00643A89"/>
    <w:rsid w:val="00643C76"/>
    <w:rsid w:val="00643E46"/>
    <w:rsid w:val="00644219"/>
    <w:rsid w:val="00644285"/>
    <w:rsid w:val="006443BD"/>
    <w:rsid w:val="00644A9C"/>
    <w:rsid w:val="00644EC7"/>
    <w:rsid w:val="00645458"/>
    <w:rsid w:val="00645634"/>
    <w:rsid w:val="0064563D"/>
    <w:rsid w:val="006457F2"/>
    <w:rsid w:val="00646008"/>
    <w:rsid w:val="0064617E"/>
    <w:rsid w:val="00646422"/>
    <w:rsid w:val="00646AC1"/>
    <w:rsid w:val="00646B92"/>
    <w:rsid w:val="006474FD"/>
    <w:rsid w:val="00647874"/>
    <w:rsid w:val="00647898"/>
    <w:rsid w:val="00647C96"/>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5B4"/>
    <w:rsid w:val="00653BE4"/>
    <w:rsid w:val="00653D43"/>
    <w:rsid w:val="0065421B"/>
    <w:rsid w:val="00654254"/>
    <w:rsid w:val="006542E6"/>
    <w:rsid w:val="006544E2"/>
    <w:rsid w:val="00654938"/>
    <w:rsid w:val="00654C7A"/>
    <w:rsid w:val="00654E54"/>
    <w:rsid w:val="006556FB"/>
    <w:rsid w:val="0065570E"/>
    <w:rsid w:val="00655F48"/>
    <w:rsid w:val="00655FB7"/>
    <w:rsid w:val="00655FFE"/>
    <w:rsid w:val="00656069"/>
    <w:rsid w:val="00656419"/>
    <w:rsid w:val="006564BD"/>
    <w:rsid w:val="00656916"/>
    <w:rsid w:val="00656BE7"/>
    <w:rsid w:val="00656D91"/>
    <w:rsid w:val="006570D6"/>
    <w:rsid w:val="0065737E"/>
    <w:rsid w:val="00657569"/>
    <w:rsid w:val="006575FD"/>
    <w:rsid w:val="00657724"/>
    <w:rsid w:val="00657F89"/>
    <w:rsid w:val="0066084B"/>
    <w:rsid w:val="00660AAD"/>
    <w:rsid w:val="0066102B"/>
    <w:rsid w:val="00661325"/>
    <w:rsid w:val="0066177B"/>
    <w:rsid w:val="00661951"/>
    <w:rsid w:val="00661F4D"/>
    <w:rsid w:val="00662146"/>
    <w:rsid w:val="00662192"/>
    <w:rsid w:val="00662268"/>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A1"/>
    <w:rsid w:val="006928DC"/>
    <w:rsid w:val="00693237"/>
    <w:rsid w:val="00693462"/>
    <w:rsid w:val="006938DE"/>
    <w:rsid w:val="006938E5"/>
    <w:rsid w:val="00694309"/>
    <w:rsid w:val="0069439D"/>
    <w:rsid w:val="006947F0"/>
    <w:rsid w:val="00694AAD"/>
    <w:rsid w:val="00694B48"/>
    <w:rsid w:val="00694DC0"/>
    <w:rsid w:val="00694DF9"/>
    <w:rsid w:val="00694E0B"/>
    <w:rsid w:val="006950C2"/>
    <w:rsid w:val="00695528"/>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38E"/>
    <w:rsid w:val="006A6458"/>
    <w:rsid w:val="006A68A0"/>
    <w:rsid w:val="006A69E1"/>
    <w:rsid w:val="006A72C6"/>
    <w:rsid w:val="006A75E3"/>
    <w:rsid w:val="006A791C"/>
    <w:rsid w:val="006A79D6"/>
    <w:rsid w:val="006A7B3B"/>
    <w:rsid w:val="006A7C6F"/>
    <w:rsid w:val="006B0096"/>
    <w:rsid w:val="006B037B"/>
    <w:rsid w:val="006B03E3"/>
    <w:rsid w:val="006B10B7"/>
    <w:rsid w:val="006B1490"/>
    <w:rsid w:val="006B185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738B"/>
    <w:rsid w:val="006B790F"/>
    <w:rsid w:val="006B7F49"/>
    <w:rsid w:val="006C00CB"/>
    <w:rsid w:val="006C0940"/>
    <w:rsid w:val="006C0E8E"/>
    <w:rsid w:val="006C1A25"/>
    <w:rsid w:val="006C1C6C"/>
    <w:rsid w:val="006C24A6"/>
    <w:rsid w:val="006C27CF"/>
    <w:rsid w:val="006C2A35"/>
    <w:rsid w:val="006C2D8B"/>
    <w:rsid w:val="006C331B"/>
    <w:rsid w:val="006C370F"/>
    <w:rsid w:val="006C393E"/>
    <w:rsid w:val="006C3D18"/>
    <w:rsid w:val="006C3E30"/>
    <w:rsid w:val="006C3ED8"/>
    <w:rsid w:val="006C3F47"/>
    <w:rsid w:val="006C41BB"/>
    <w:rsid w:val="006C4F9B"/>
    <w:rsid w:val="006C5503"/>
    <w:rsid w:val="006C559B"/>
    <w:rsid w:val="006C5B73"/>
    <w:rsid w:val="006C5E51"/>
    <w:rsid w:val="006C61AE"/>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527E"/>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A28"/>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4E6"/>
    <w:rsid w:val="006F7583"/>
    <w:rsid w:val="006F7876"/>
    <w:rsid w:val="006F7B47"/>
    <w:rsid w:val="006F7B78"/>
    <w:rsid w:val="006F7E3B"/>
    <w:rsid w:val="0070001C"/>
    <w:rsid w:val="007000C0"/>
    <w:rsid w:val="00700D21"/>
    <w:rsid w:val="00700E6B"/>
    <w:rsid w:val="00700E75"/>
    <w:rsid w:val="0070176A"/>
    <w:rsid w:val="00701A12"/>
    <w:rsid w:val="00701B81"/>
    <w:rsid w:val="00701C37"/>
    <w:rsid w:val="00702434"/>
    <w:rsid w:val="00702BD1"/>
    <w:rsid w:val="00702FC9"/>
    <w:rsid w:val="007034FA"/>
    <w:rsid w:val="00703659"/>
    <w:rsid w:val="00703843"/>
    <w:rsid w:val="00703891"/>
    <w:rsid w:val="00703A2A"/>
    <w:rsid w:val="00703BFB"/>
    <w:rsid w:val="00703C59"/>
    <w:rsid w:val="00703D81"/>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9E6"/>
    <w:rsid w:val="00710ADE"/>
    <w:rsid w:val="007111DC"/>
    <w:rsid w:val="007118BB"/>
    <w:rsid w:val="00711A8B"/>
    <w:rsid w:val="0071210B"/>
    <w:rsid w:val="0071214E"/>
    <w:rsid w:val="00712173"/>
    <w:rsid w:val="007125D0"/>
    <w:rsid w:val="007127D1"/>
    <w:rsid w:val="00712938"/>
    <w:rsid w:val="00712C5A"/>
    <w:rsid w:val="00713132"/>
    <w:rsid w:val="00713488"/>
    <w:rsid w:val="00713B26"/>
    <w:rsid w:val="007147CF"/>
    <w:rsid w:val="00714A50"/>
    <w:rsid w:val="00714B47"/>
    <w:rsid w:val="00714B85"/>
    <w:rsid w:val="00714F44"/>
    <w:rsid w:val="0071515E"/>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93A"/>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0EE"/>
    <w:rsid w:val="0072729F"/>
    <w:rsid w:val="0072759A"/>
    <w:rsid w:val="007275C6"/>
    <w:rsid w:val="0072777C"/>
    <w:rsid w:val="0072794C"/>
    <w:rsid w:val="00727959"/>
    <w:rsid w:val="00727BCF"/>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70"/>
    <w:rsid w:val="00731FE3"/>
    <w:rsid w:val="007320AB"/>
    <w:rsid w:val="007321FD"/>
    <w:rsid w:val="00732362"/>
    <w:rsid w:val="0073294B"/>
    <w:rsid w:val="00732D7B"/>
    <w:rsid w:val="00733218"/>
    <w:rsid w:val="00733387"/>
    <w:rsid w:val="0073339C"/>
    <w:rsid w:val="0073360A"/>
    <w:rsid w:val="0073377F"/>
    <w:rsid w:val="00733CEA"/>
    <w:rsid w:val="00734209"/>
    <w:rsid w:val="007342C7"/>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7122"/>
    <w:rsid w:val="007471B1"/>
    <w:rsid w:val="0074724A"/>
    <w:rsid w:val="007472C6"/>
    <w:rsid w:val="007473C5"/>
    <w:rsid w:val="007475BB"/>
    <w:rsid w:val="00747761"/>
    <w:rsid w:val="00747776"/>
    <w:rsid w:val="00747FF7"/>
    <w:rsid w:val="007505A8"/>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45"/>
    <w:rsid w:val="00756D5B"/>
    <w:rsid w:val="00756D83"/>
    <w:rsid w:val="0075730F"/>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2"/>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157"/>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782"/>
    <w:rsid w:val="00783A4B"/>
    <w:rsid w:val="00783C86"/>
    <w:rsid w:val="00783F77"/>
    <w:rsid w:val="00784138"/>
    <w:rsid w:val="0078452C"/>
    <w:rsid w:val="00785293"/>
    <w:rsid w:val="00785482"/>
    <w:rsid w:val="00785F2B"/>
    <w:rsid w:val="00786158"/>
    <w:rsid w:val="00786159"/>
    <w:rsid w:val="00786289"/>
    <w:rsid w:val="00786414"/>
    <w:rsid w:val="007866CD"/>
    <w:rsid w:val="00786780"/>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FD1"/>
    <w:rsid w:val="00792228"/>
    <w:rsid w:val="0079226A"/>
    <w:rsid w:val="00792713"/>
    <w:rsid w:val="00792983"/>
    <w:rsid w:val="00792A2D"/>
    <w:rsid w:val="00792F8E"/>
    <w:rsid w:val="00793108"/>
    <w:rsid w:val="00793582"/>
    <w:rsid w:val="007936F9"/>
    <w:rsid w:val="00794023"/>
    <w:rsid w:val="0079404E"/>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044"/>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6AF"/>
    <w:rsid w:val="007B0807"/>
    <w:rsid w:val="007B0D4E"/>
    <w:rsid w:val="007B0F14"/>
    <w:rsid w:val="007B1146"/>
    <w:rsid w:val="007B1537"/>
    <w:rsid w:val="007B1549"/>
    <w:rsid w:val="007B15DE"/>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682"/>
    <w:rsid w:val="007B6846"/>
    <w:rsid w:val="007B68FD"/>
    <w:rsid w:val="007B6BA6"/>
    <w:rsid w:val="007B6F00"/>
    <w:rsid w:val="007B6FA2"/>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BE9"/>
    <w:rsid w:val="007C3DF9"/>
    <w:rsid w:val="007C4150"/>
    <w:rsid w:val="007C461C"/>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599"/>
    <w:rsid w:val="007D6695"/>
    <w:rsid w:val="007D675C"/>
    <w:rsid w:val="007D69B4"/>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292"/>
    <w:rsid w:val="007E449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005"/>
    <w:rsid w:val="0080379F"/>
    <w:rsid w:val="00803B36"/>
    <w:rsid w:val="00803FA0"/>
    <w:rsid w:val="00804677"/>
    <w:rsid w:val="0080484F"/>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173"/>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B22"/>
    <w:rsid w:val="00823C64"/>
    <w:rsid w:val="00823D5A"/>
    <w:rsid w:val="0082427C"/>
    <w:rsid w:val="0082442D"/>
    <w:rsid w:val="0082465A"/>
    <w:rsid w:val="00824821"/>
    <w:rsid w:val="00824D1A"/>
    <w:rsid w:val="00824D9B"/>
    <w:rsid w:val="0082539F"/>
    <w:rsid w:val="008258BA"/>
    <w:rsid w:val="00825BD1"/>
    <w:rsid w:val="00825FF1"/>
    <w:rsid w:val="00826136"/>
    <w:rsid w:val="00826264"/>
    <w:rsid w:val="008263AD"/>
    <w:rsid w:val="0082641A"/>
    <w:rsid w:val="008266CF"/>
    <w:rsid w:val="00826DBC"/>
    <w:rsid w:val="0082731D"/>
    <w:rsid w:val="008273EF"/>
    <w:rsid w:val="008278B8"/>
    <w:rsid w:val="00827AD2"/>
    <w:rsid w:val="00827C49"/>
    <w:rsid w:val="00827F79"/>
    <w:rsid w:val="00827FC4"/>
    <w:rsid w:val="008303CA"/>
    <w:rsid w:val="00830461"/>
    <w:rsid w:val="00830606"/>
    <w:rsid w:val="008306C4"/>
    <w:rsid w:val="00830746"/>
    <w:rsid w:val="0083092C"/>
    <w:rsid w:val="00830958"/>
    <w:rsid w:val="00830DC9"/>
    <w:rsid w:val="00831241"/>
    <w:rsid w:val="008313E3"/>
    <w:rsid w:val="00831757"/>
    <w:rsid w:val="008317EC"/>
    <w:rsid w:val="00831EA7"/>
    <w:rsid w:val="008321A6"/>
    <w:rsid w:val="00832950"/>
    <w:rsid w:val="00832AE8"/>
    <w:rsid w:val="00832BB1"/>
    <w:rsid w:val="00832C70"/>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86A"/>
    <w:rsid w:val="00841DD6"/>
    <w:rsid w:val="00842340"/>
    <w:rsid w:val="00842B8E"/>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178"/>
    <w:rsid w:val="0084636B"/>
    <w:rsid w:val="00846779"/>
    <w:rsid w:val="00846841"/>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2D6"/>
    <w:rsid w:val="008635AC"/>
    <w:rsid w:val="0086371B"/>
    <w:rsid w:val="00863750"/>
    <w:rsid w:val="008637D9"/>
    <w:rsid w:val="00863959"/>
    <w:rsid w:val="00863A68"/>
    <w:rsid w:val="00863EFA"/>
    <w:rsid w:val="008640E5"/>
    <w:rsid w:val="0086411C"/>
    <w:rsid w:val="00864260"/>
    <w:rsid w:val="008642D6"/>
    <w:rsid w:val="008645BA"/>
    <w:rsid w:val="00864B69"/>
    <w:rsid w:val="00864B72"/>
    <w:rsid w:val="00864CF3"/>
    <w:rsid w:val="00864FDE"/>
    <w:rsid w:val="00865088"/>
    <w:rsid w:val="0086515E"/>
    <w:rsid w:val="008653D0"/>
    <w:rsid w:val="008658D9"/>
    <w:rsid w:val="00866363"/>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2A32"/>
    <w:rsid w:val="008730D2"/>
    <w:rsid w:val="0087322A"/>
    <w:rsid w:val="0087393F"/>
    <w:rsid w:val="00873BE9"/>
    <w:rsid w:val="00873D5A"/>
    <w:rsid w:val="00874013"/>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CC1"/>
    <w:rsid w:val="00884E66"/>
    <w:rsid w:val="00885290"/>
    <w:rsid w:val="008854F4"/>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86"/>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473"/>
    <w:rsid w:val="008A14E1"/>
    <w:rsid w:val="008A1D82"/>
    <w:rsid w:val="008A1FE1"/>
    <w:rsid w:val="008A2316"/>
    <w:rsid w:val="008A2680"/>
    <w:rsid w:val="008A27B1"/>
    <w:rsid w:val="008A295F"/>
    <w:rsid w:val="008A29D4"/>
    <w:rsid w:val="008A2E27"/>
    <w:rsid w:val="008A311B"/>
    <w:rsid w:val="008A3AFD"/>
    <w:rsid w:val="008A3B38"/>
    <w:rsid w:val="008A3B92"/>
    <w:rsid w:val="008A3E29"/>
    <w:rsid w:val="008A3EAE"/>
    <w:rsid w:val="008A3F24"/>
    <w:rsid w:val="008A40CA"/>
    <w:rsid w:val="008A466C"/>
    <w:rsid w:val="008A46F4"/>
    <w:rsid w:val="008A4DCA"/>
    <w:rsid w:val="008A5008"/>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515"/>
    <w:rsid w:val="008B3CA3"/>
    <w:rsid w:val="008B4053"/>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788"/>
    <w:rsid w:val="008B683C"/>
    <w:rsid w:val="008B68AA"/>
    <w:rsid w:val="008B6B2C"/>
    <w:rsid w:val="008B6C6A"/>
    <w:rsid w:val="008B703F"/>
    <w:rsid w:val="008B71A3"/>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80A"/>
    <w:rsid w:val="008C288E"/>
    <w:rsid w:val="008C3037"/>
    <w:rsid w:val="008C30C7"/>
    <w:rsid w:val="008C32F7"/>
    <w:rsid w:val="008C3706"/>
    <w:rsid w:val="008C3A2B"/>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E6D"/>
    <w:rsid w:val="008D1A2D"/>
    <w:rsid w:val="008D1A36"/>
    <w:rsid w:val="008D1A72"/>
    <w:rsid w:val="008D1D6A"/>
    <w:rsid w:val="008D1F89"/>
    <w:rsid w:val="008D2354"/>
    <w:rsid w:val="008D28BD"/>
    <w:rsid w:val="008D2DF2"/>
    <w:rsid w:val="008D2EE6"/>
    <w:rsid w:val="008D2EFF"/>
    <w:rsid w:val="008D2F52"/>
    <w:rsid w:val="008D30BE"/>
    <w:rsid w:val="008D3914"/>
    <w:rsid w:val="008D3D9C"/>
    <w:rsid w:val="008D45DD"/>
    <w:rsid w:val="008D4C9F"/>
    <w:rsid w:val="008D5323"/>
    <w:rsid w:val="008D55AC"/>
    <w:rsid w:val="008D5810"/>
    <w:rsid w:val="008D5BA8"/>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88"/>
    <w:rsid w:val="009002C2"/>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07898"/>
    <w:rsid w:val="0091062B"/>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C5F"/>
    <w:rsid w:val="00913E83"/>
    <w:rsid w:val="009141E4"/>
    <w:rsid w:val="00914527"/>
    <w:rsid w:val="00914689"/>
    <w:rsid w:val="0091477F"/>
    <w:rsid w:val="00914A3B"/>
    <w:rsid w:val="00914E82"/>
    <w:rsid w:val="00915011"/>
    <w:rsid w:val="009150BD"/>
    <w:rsid w:val="0091537E"/>
    <w:rsid w:val="0091557D"/>
    <w:rsid w:val="009158E9"/>
    <w:rsid w:val="00915EA0"/>
    <w:rsid w:val="009161D2"/>
    <w:rsid w:val="00916347"/>
    <w:rsid w:val="00916CFE"/>
    <w:rsid w:val="009170A4"/>
    <w:rsid w:val="009176C5"/>
    <w:rsid w:val="00917C1B"/>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4B2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5EA"/>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DDE"/>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85B"/>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934"/>
    <w:rsid w:val="00953CCE"/>
    <w:rsid w:val="0095452B"/>
    <w:rsid w:val="00954BFE"/>
    <w:rsid w:val="00954E6C"/>
    <w:rsid w:val="009555B8"/>
    <w:rsid w:val="00955804"/>
    <w:rsid w:val="009559DE"/>
    <w:rsid w:val="009567B2"/>
    <w:rsid w:val="0095680A"/>
    <w:rsid w:val="009568FC"/>
    <w:rsid w:val="0095692F"/>
    <w:rsid w:val="00956CED"/>
    <w:rsid w:val="00957219"/>
    <w:rsid w:val="009579CF"/>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897"/>
    <w:rsid w:val="00971A84"/>
    <w:rsid w:val="00972143"/>
    <w:rsid w:val="009729D1"/>
    <w:rsid w:val="00972C07"/>
    <w:rsid w:val="009732EA"/>
    <w:rsid w:val="00973308"/>
    <w:rsid w:val="00973607"/>
    <w:rsid w:val="009737E8"/>
    <w:rsid w:val="00973A21"/>
    <w:rsid w:val="009740F5"/>
    <w:rsid w:val="00974188"/>
    <w:rsid w:val="009749DA"/>
    <w:rsid w:val="00974D58"/>
    <w:rsid w:val="00974F7B"/>
    <w:rsid w:val="00974FCB"/>
    <w:rsid w:val="00974FE1"/>
    <w:rsid w:val="009750AC"/>
    <w:rsid w:val="009751E2"/>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77F43"/>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07B"/>
    <w:rsid w:val="009A117B"/>
    <w:rsid w:val="009A13BE"/>
    <w:rsid w:val="009A14D9"/>
    <w:rsid w:val="009A175A"/>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8DB"/>
    <w:rsid w:val="009A4931"/>
    <w:rsid w:val="009A4951"/>
    <w:rsid w:val="009A4AF8"/>
    <w:rsid w:val="009A4FC0"/>
    <w:rsid w:val="009A4FF9"/>
    <w:rsid w:val="009A506F"/>
    <w:rsid w:val="009A516C"/>
    <w:rsid w:val="009A5732"/>
    <w:rsid w:val="009A5DAD"/>
    <w:rsid w:val="009A5E4A"/>
    <w:rsid w:val="009A5F09"/>
    <w:rsid w:val="009A605C"/>
    <w:rsid w:val="009A608A"/>
    <w:rsid w:val="009A633E"/>
    <w:rsid w:val="009A63B4"/>
    <w:rsid w:val="009A6462"/>
    <w:rsid w:val="009A6686"/>
    <w:rsid w:val="009A6796"/>
    <w:rsid w:val="009A6EC1"/>
    <w:rsid w:val="009A733E"/>
    <w:rsid w:val="009A7DA2"/>
    <w:rsid w:val="009A7E75"/>
    <w:rsid w:val="009B00A3"/>
    <w:rsid w:val="009B01D0"/>
    <w:rsid w:val="009B025E"/>
    <w:rsid w:val="009B0571"/>
    <w:rsid w:val="009B05E1"/>
    <w:rsid w:val="009B0952"/>
    <w:rsid w:val="009B0ABC"/>
    <w:rsid w:val="009B0BF2"/>
    <w:rsid w:val="009B127C"/>
    <w:rsid w:val="009B161E"/>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1DE8"/>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108"/>
    <w:rsid w:val="009D02B8"/>
    <w:rsid w:val="009D04B5"/>
    <w:rsid w:val="009D0A9D"/>
    <w:rsid w:val="009D0B41"/>
    <w:rsid w:val="009D0E15"/>
    <w:rsid w:val="009D0F82"/>
    <w:rsid w:val="009D1933"/>
    <w:rsid w:val="009D1D53"/>
    <w:rsid w:val="009D2325"/>
    <w:rsid w:val="009D253D"/>
    <w:rsid w:val="009D2B64"/>
    <w:rsid w:val="009D2D40"/>
    <w:rsid w:val="009D2DC5"/>
    <w:rsid w:val="009D3040"/>
    <w:rsid w:val="009D3A0F"/>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47C"/>
    <w:rsid w:val="009E7748"/>
    <w:rsid w:val="009E78F8"/>
    <w:rsid w:val="009E7B34"/>
    <w:rsid w:val="009E7D5E"/>
    <w:rsid w:val="009F0132"/>
    <w:rsid w:val="009F01E9"/>
    <w:rsid w:val="009F04CC"/>
    <w:rsid w:val="009F09D1"/>
    <w:rsid w:val="009F0A6C"/>
    <w:rsid w:val="009F0AD3"/>
    <w:rsid w:val="009F0FF0"/>
    <w:rsid w:val="009F10EB"/>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3FFD"/>
    <w:rsid w:val="009F48C7"/>
    <w:rsid w:val="009F4CE1"/>
    <w:rsid w:val="009F50BB"/>
    <w:rsid w:val="009F523C"/>
    <w:rsid w:val="009F530B"/>
    <w:rsid w:val="009F57A3"/>
    <w:rsid w:val="009F59B8"/>
    <w:rsid w:val="009F5A6F"/>
    <w:rsid w:val="009F5EB5"/>
    <w:rsid w:val="009F6359"/>
    <w:rsid w:val="009F6AC9"/>
    <w:rsid w:val="009F6C52"/>
    <w:rsid w:val="009F6E94"/>
    <w:rsid w:val="009F7091"/>
    <w:rsid w:val="009F70A8"/>
    <w:rsid w:val="009F7867"/>
    <w:rsid w:val="009F794D"/>
    <w:rsid w:val="009F796E"/>
    <w:rsid w:val="009F7DCA"/>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37"/>
    <w:rsid w:val="00A10C4C"/>
    <w:rsid w:val="00A11282"/>
    <w:rsid w:val="00A11310"/>
    <w:rsid w:val="00A1156D"/>
    <w:rsid w:val="00A11972"/>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71E"/>
    <w:rsid w:val="00A22D5C"/>
    <w:rsid w:val="00A23000"/>
    <w:rsid w:val="00A234B8"/>
    <w:rsid w:val="00A23645"/>
    <w:rsid w:val="00A23CDC"/>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2D8"/>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C2C"/>
    <w:rsid w:val="00A3517F"/>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2"/>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90A"/>
    <w:rsid w:val="00A52A8E"/>
    <w:rsid w:val="00A52D21"/>
    <w:rsid w:val="00A5307C"/>
    <w:rsid w:val="00A531AF"/>
    <w:rsid w:val="00A53295"/>
    <w:rsid w:val="00A5342B"/>
    <w:rsid w:val="00A53BAA"/>
    <w:rsid w:val="00A53D81"/>
    <w:rsid w:val="00A53F03"/>
    <w:rsid w:val="00A5467A"/>
    <w:rsid w:val="00A54B32"/>
    <w:rsid w:val="00A54C45"/>
    <w:rsid w:val="00A551BE"/>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F53"/>
    <w:rsid w:val="00A865A4"/>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8C6"/>
    <w:rsid w:val="00AA69C3"/>
    <w:rsid w:val="00AA6B6D"/>
    <w:rsid w:val="00AA6F6B"/>
    <w:rsid w:val="00AA7189"/>
    <w:rsid w:val="00AA7214"/>
    <w:rsid w:val="00AA78D9"/>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3B7A"/>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3E"/>
    <w:rsid w:val="00AC5788"/>
    <w:rsid w:val="00AC5823"/>
    <w:rsid w:val="00AC5C7A"/>
    <w:rsid w:val="00AC5DCE"/>
    <w:rsid w:val="00AC5E96"/>
    <w:rsid w:val="00AC5F78"/>
    <w:rsid w:val="00AC5FA3"/>
    <w:rsid w:val="00AC6023"/>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150"/>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BA0"/>
    <w:rsid w:val="00AF6E52"/>
    <w:rsid w:val="00AF70B9"/>
    <w:rsid w:val="00AF735B"/>
    <w:rsid w:val="00AF743B"/>
    <w:rsid w:val="00AF7E22"/>
    <w:rsid w:val="00B000E6"/>
    <w:rsid w:val="00B004C7"/>
    <w:rsid w:val="00B00815"/>
    <w:rsid w:val="00B00D0C"/>
    <w:rsid w:val="00B00F58"/>
    <w:rsid w:val="00B01561"/>
    <w:rsid w:val="00B01E4E"/>
    <w:rsid w:val="00B01EDD"/>
    <w:rsid w:val="00B021D6"/>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89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BC"/>
    <w:rsid w:val="00B11DAC"/>
    <w:rsid w:val="00B11EDB"/>
    <w:rsid w:val="00B120DD"/>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FDF"/>
    <w:rsid w:val="00B2156C"/>
    <w:rsid w:val="00B21EFC"/>
    <w:rsid w:val="00B220B1"/>
    <w:rsid w:val="00B2274D"/>
    <w:rsid w:val="00B22A7E"/>
    <w:rsid w:val="00B22C12"/>
    <w:rsid w:val="00B230CB"/>
    <w:rsid w:val="00B2336E"/>
    <w:rsid w:val="00B233A3"/>
    <w:rsid w:val="00B239C9"/>
    <w:rsid w:val="00B239E4"/>
    <w:rsid w:val="00B23B5E"/>
    <w:rsid w:val="00B23B8E"/>
    <w:rsid w:val="00B23E15"/>
    <w:rsid w:val="00B2419B"/>
    <w:rsid w:val="00B241A5"/>
    <w:rsid w:val="00B247AB"/>
    <w:rsid w:val="00B24B9F"/>
    <w:rsid w:val="00B24E69"/>
    <w:rsid w:val="00B24F47"/>
    <w:rsid w:val="00B252DF"/>
    <w:rsid w:val="00B25622"/>
    <w:rsid w:val="00B25787"/>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C93"/>
    <w:rsid w:val="00B32F9D"/>
    <w:rsid w:val="00B3310E"/>
    <w:rsid w:val="00B33425"/>
    <w:rsid w:val="00B3346F"/>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0E78"/>
    <w:rsid w:val="00B415AA"/>
    <w:rsid w:val="00B41602"/>
    <w:rsid w:val="00B41DA2"/>
    <w:rsid w:val="00B41DD8"/>
    <w:rsid w:val="00B423AD"/>
    <w:rsid w:val="00B4253C"/>
    <w:rsid w:val="00B42901"/>
    <w:rsid w:val="00B42CD6"/>
    <w:rsid w:val="00B42D26"/>
    <w:rsid w:val="00B42EB2"/>
    <w:rsid w:val="00B43186"/>
    <w:rsid w:val="00B43325"/>
    <w:rsid w:val="00B43359"/>
    <w:rsid w:val="00B4347B"/>
    <w:rsid w:val="00B4358D"/>
    <w:rsid w:val="00B43913"/>
    <w:rsid w:val="00B43A47"/>
    <w:rsid w:val="00B43C9D"/>
    <w:rsid w:val="00B43D6A"/>
    <w:rsid w:val="00B443DC"/>
    <w:rsid w:val="00B447A6"/>
    <w:rsid w:val="00B44A0E"/>
    <w:rsid w:val="00B44E83"/>
    <w:rsid w:val="00B45112"/>
    <w:rsid w:val="00B4569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D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2A3"/>
    <w:rsid w:val="00B92918"/>
    <w:rsid w:val="00B92D46"/>
    <w:rsid w:val="00B92E71"/>
    <w:rsid w:val="00B93150"/>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E45"/>
    <w:rsid w:val="00BA1057"/>
    <w:rsid w:val="00BA1189"/>
    <w:rsid w:val="00BA13C2"/>
    <w:rsid w:val="00BA13C3"/>
    <w:rsid w:val="00BA1420"/>
    <w:rsid w:val="00BA1648"/>
    <w:rsid w:val="00BA1A3F"/>
    <w:rsid w:val="00BA2A65"/>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21B0"/>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5F08"/>
    <w:rsid w:val="00BB6801"/>
    <w:rsid w:val="00BB6D71"/>
    <w:rsid w:val="00BB71D7"/>
    <w:rsid w:val="00BB7280"/>
    <w:rsid w:val="00BB7312"/>
    <w:rsid w:val="00BB76D8"/>
    <w:rsid w:val="00BB7ABF"/>
    <w:rsid w:val="00BB7C33"/>
    <w:rsid w:val="00BC0096"/>
    <w:rsid w:val="00BC00CE"/>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0C"/>
    <w:rsid w:val="00BC2FA5"/>
    <w:rsid w:val="00BC342A"/>
    <w:rsid w:val="00BC34B5"/>
    <w:rsid w:val="00BC35A2"/>
    <w:rsid w:val="00BC38D4"/>
    <w:rsid w:val="00BC41E1"/>
    <w:rsid w:val="00BC42E3"/>
    <w:rsid w:val="00BC46CF"/>
    <w:rsid w:val="00BC47C6"/>
    <w:rsid w:val="00BC48A8"/>
    <w:rsid w:val="00BC48EE"/>
    <w:rsid w:val="00BC49EF"/>
    <w:rsid w:val="00BC4B24"/>
    <w:rsid w:val="00BC4BDE"/>
    <w:rsid w:val="00BC5AF9"/>
    <w:rsid w:val="00BC5E44"/>
    <w:rsid w:val="00BC60EF"/>
    <w:rsid w:val="00BC63EE"/>
    <w:rsid w:val="00BC6667"/>
    <w:rsid w:val="00BC6763"/>
    <w:rsid w:val="00BC6DF7"/>
    <w:rsid w:val="00BC7205"/>
    <w:rsid w:val="00BC79D4"/>
    <w:rsid w:val="00BC79E1"/>
    <w:rsid w:val="00BC7D48"/>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AEA"/>
    <w:rsid w:val="00BD5F7C"/>
    <w:rsid w:val="00BD640E"/>
    <w:rsid w:val="00BD6792"/>
    <w:rsid w:val="00BD6C14"/>
    <w:rsid w:val="00BD6D90"/>
    <w:rsid w:val="00BD6FC0"/>
    <w:rsid w:val="00BD70CA"/>
    <w:rsid w:val="00BD75A5"/>
    <w:rsid w:val="00BD7A58"/>
    <w:rsid w:val="00BD7B8A"/>
    <w:rsid w:val="00BD7C25"/>
    <w:rsid w:val="00BE0077"/>
    <w:rsid w:val="00BE05E2"/>
    <w:rsid w:val="00BE060B"/>
    <w:rsid w:val="00BE06ED"/>
    <w:rsid w:val="00BE087F"/>
    <w:rsid w:val="00BE0BA5"/>
    <w:rsid w:val="00BE0C04"/>
    <w:rsid w:val="00BE0CBF"/>
    <w:rsid w:val="00BE0D07"/>
    <w:rsid w:val="00BE0F38"/>
    <w:rsid w:val="00BE0F90"/>
    <w:rsid w:val="00BE10BA"/>
    <w:rsid w:val="00BE167E"/>
    <w:rsid w:val="00BE174A"/>
    <w:rsid w:val="00BE19B0"/>
    <w:rsid w:val="00BE2169"/>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6E85"/>
    <w:rsid w:val="00BE702F"/>
    <w:rsid w:val="00BE79A6"/>
    <w:rsid w:val="00BE79F0"/>
    <w:rsid w:val="00BE7A36"/>
    <w:rsid w:val="00BE7C2A"/>
    <w:rsid w:val="00BF032A"/>
    <w:rsid w:val="00BF09F7"/>
    <w:rsid w:val="00BF0B29"/>
    <w:rsid w:val="00BF0EE4"/>
    <w:rsid w:val="00BF0F93"/>
    <w:rsid w:val="00BF129B"/>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26A"/>
    <w:rsid w:val="00C01448"/>
    <w:rsid w:val="00C01578"/>
    <w:rsid w:val="00C018F3"/>
    <w:rsid w:val="00C019F8"/>
    <w:rsid w:val="00C02039"/>
    <w:rsid w:val="00C022E5"/>
    <w:rsid w:val="00C024C9"/>
    <w:rsid w:val="00C02696"/>
    <w:rsid w:val="00C02B62"/>
    <w:rsid w:val="00C02B73"/>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3134"/>
    <w:rsid w:val="00C13377"/>
    <w:rsid w:val="00C135B5"/>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1E"/>
    <w:rsid w:val="00C2561D"/>
    <w:rsid w:val="00C258B1"/>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7"/>
    <w:rsid w:val="00C37A80"/>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2CEA"/>
    <w:rsid w:val="00C730B4"/>
    <w:rsid w:val="00C734D0"/>
    <w:rsid w:val="00C73C6F"/>
    <w:rsid w:val="00C741F0"/>
    <w:rsid w:val="00C74449"/>
    <w:rsid w:val="00C74A06"/>
    <w:rsid w:val="00C74C3D"/>
    <w:rsid w:val="00C74ECF"/>
    <w:rsid w:val="00C754DD"/>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25"/>
    <w:rsid w:val="00C82B0B"/>
    <w:rsid w:val="00C82E4C"/>
    <w:rsid w:val="00C82E5F"/>
    <w:rsid w:val="00C83180"/>
    <w:rsid w:val="00C83611"/>
    <w:rsid w:val="00C84138"/>
    <w:rsid w:val="00C84D15"/>
    <w:rsid w:val="00C84E67"/>
    <w:rsid w:val="00C84EDF"/>
    <w:rsid w:val="00C85B84"/>
    <w:rsid w:val="00C85CAD"/>
    <w:rsid w:val="00C86031"/>
    <w:rsid w:val="00C86069"/>
    <w:rsid w:val="00C864A4"/>
    <w:rsid w:val="00C86F27"/>
    <w:rsid w:val="00C87318"/>
    <w:rsid w:val="00C87480"/>
    <w:rsid w:val="00C874BF"/>
    <w:rsid w:val="00C8776C"/>
    <w:rsid w:val="00C87AF6"/>
    <w:rsid w:val="00C87CAA"/>
    <w:rsid w:val="00C90D5B"/>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0BE5"/>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3AE"/>
    <w:rsid w:val="00CA78D2"/>
    <w:rsid w:val="00CA7A2A"/>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427"/>
    <w:rsid w:val="00CC05E8"/>
    <w:rsid w:val="00CC05FF"/>
    <w:rsid w:val="00CC0772"/>
    <w:rsid w:val="00CC09A7"/>
    <w:rsid w:val="00CC09B0"/>
    <w:rsid w:val="00CC0A2B"/>
    <w:rsid w:val="00CC0C96"/>
    <w:rsid w:val="00CC0D12"/>
    <w:rsid w:val="00CC0FDA"/>
    <w:rsid w:val="00CC1299"/>
    <w:rsid w:val="00CC132A"/>
    <w:rsid w:val="00CC1396"/>
    <w:rsid w:val="00CC151B"/>
    <w:rsid w:val="00CC155A"/>
    <w:rsid w:val="00CC188A"/>
    <w:rsid w:val="00CC1962"/>
    <w:rsid w:val="00CC1C6D"/>
    <w:rsid w:val="00CC2462"/>
    <w:rsid w:val="00CC27FB"/>
    <w:rsid w:val="00CC2B99"/>
    <w:rsid w:val="00CC325A"/>
    <w:rsid w:val="00CC36F6"/>
    <w:rsid w:val="00CC3CF3"/>
    <w:rsid w:val="00CC3FC5"/>
    <w:rsid w:val="00CC3FDA"/>
    <w:rsid w:val="00CC489F"/>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E9E"/>
    <w:rsid w:val="00CE0FC6"/>
    <w:rsid w:val="00CE1267"/>
    <w:rsid w:val="00CE1427"/>
    <w:rsid w:val="00CE159B"/>
    <w:rsid w:val="00CE169A"/>
    <w:rsid w:val="00CE1A4A"/>
    <w:rsid w:val="00CE1B77"/>
    <w:rsid w:val="00CE1E03"/>
    <w:rsid w:val="00CE2196"/>
    <w:rsid w:val="00CE2971"/>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7FD"/>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90C"/>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F3E"/>
    <w:rsid w:val="00CF76D4"/>
    <w:rsid w:val="00CF7786"/>
    <w:rsid w:val="00CF7AAC"/>
    <w:rsid w:val="00CF7D9E"/>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D7F"/>
    <w:rsid w:val="00D11F92"/>
    <w:rsid w:val="00D121A3"/>
    <w:rsid w:val="00D12522"/>
    <w:rsid w:val="00D12931"/>
    <w:rsid w:val="00D12CD2"/>
    <w:rsid w:val="00D12FFA"/>
    <w:rsid w:val="00D13744"/>
    <w:rsid w:val="00D139F0"/>
    <w:rsid w:val="00D13C5E"/>
    <w:rsid w:val="00D13EF6"/>
    <w:rsid w:val="00D141BD"/>
    <w:rsid w:val="00D1496A"/>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428"/>
    <w:rsid w:val="00D218DA"/>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06E"/>
    <w:rsid w:val="00D24420"/>
    <w:rsid w:val="00D24524"/>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8DA"/>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6D7"/>
    <w:rsid w:val="00D4272C"/>
    <w:rsid w:val="00D4274E"/>
    <w:rsid w:val="00D42F28"/>
    <w:rsid w:val="00D4321B"/>
    <w:rsid w:val="00D435B0"/>
    <w:rsid w:val="00D435BD"/>
    <w:rsid w:val="00D4394A"/>
    <w:rsid w:val="00D43BB4"/>
    <w:rsid w:val="00D442CE"/>
    <w:rsid w:val="00D444F2"/>
    <w:rsid w:val="00D449E4"/>
    <w:rsid w:val="00D4511A"/>
    <w:rsid w:val="00D451B1"/>
    <w:rsid w:val="00D4525A"/>
    <w:rsid w:val="00D45290"/>
    <w:rsid w:val="00D454D9"/>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CB7"/>
    <w:rsid w:val="00D671D8"/>
    <w:rsid w:val="00D6781E"/>
    <w:rsid w:val="00D67A31"/>
    <w:rsid w:val="00D702CB"/>
    <w:rsid w:val="00D704F1"/>
    <w:rsid w:val="00D70B8C"/>
    <w:rsid w:val="00D71092"/>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61"/>
    <w:rsid w:val="00D7678E"/>
    <w:rsid w:val="00D76885"/>
    <w:rsid w:val="00D76975"/>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3AAB"/>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9B2"/>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D3"/>
    <w:rsid w:val="00DD0E7E"/>
    <w:rsid w:val="00DD1008"/>
    <w:rsid w:val="00DD14C6"/>
    <w:rsid w:val="00DD14D2"/>
    <w:rsid w:val="00DD1602"/>
    <w:rsid w:val="00DD164C"/>
    <w:rsid w:val="00DD16BF"/>
    <w:rsid w:val="00DD1E09"/>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2B2"/>
    <w:rsid w:val="00DD535A"/>
    <w:rsid w:val="00DD580F"/>
    <w:rsid w:val="00DD5A73"/>
    <w:rsid w:val="00DD5D12"/>
    <w:rsid w:val="00DD605E"/>
    <w:rsid w:val="00DD6CF5"/>
    <w:rsid w:val="00DD6E8B"/>
    <w:rsid w:val="00DD6F9E"/>
    <w:rsid w:val="00DD718A"/>
    <w:rsid w:val="00DD7692"/>
    <w:rsid w:val="00DD77D6"/>
    <w:rsid w:val="00DD7818"/>
    <w:rsid w:val="00DD79E8"/>
    <w:rsid w:val="00DD7D61"/>
    <w:rsid w:val="00DD7E26"/>
    <w:rsid w:val="00DE0127"/>
    <w:rsid w:val="00DE0B62"/>
    <w:rsid w:val="00DE0F5E"/>
    <w:rsid w:val="00DE1311"/>
    <w:rsid w:val="00DE1384"/>
    <w:rsid w:val="00DE14AF"/>
    <w:rsid w:val="00DE159C"/>
    <w:rsid w:val="00DE1624"/>
    <w:rsid w:val="00DE1C6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D18"/>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E4F"/>
    <w:rsid w:val="00DF407A"/>
    <w:rsid w:val="00DF4238"/>
    <w:rsid w:val="00DF42D0"/>
    <w:rsid w:val="00DF4457"/>
    <w:rsid w:val="00DF4692"/>
    <w:rsid w:val="00DF488D"/>
    <w:rsid w:val="00DF48C1"/>
    <w:rsid w:val="00DF4D26"/>
    <w:rsid w:val="00DF4FEE"/>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0CD"/>
    <w:rsid w:val="00E1010A"/>
    <w:rsid w:val="00E10285"/>
    <w:rsid w:val="00E102C5"/>
    <w:rsid w:val="00E1038D"/>
    <w:rsid w:val="00E10863"/>
    <w:rsid w:val="00E108C5"/>
    <w:rsid w:val="00E10F57"/>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9"/>
    <w:rsid w:val="00E20ADC"/>
    <w:rsid w:val="00E20C83"/>
    <w:rsid w:val="00E21191"/>
    <w:rsid w:val="00E2165B"/>
    <w:rsid w:val="00E2174F"/>
    <w:rsid w:val="00E218C0"/>
    <w:rsid w:val="00E21911"/>
    <w:rsid w:val="00E21CCB"/>
    <w:rsid w:val="00E21E31"/>
    <w:rsid w:val="00E21F63"/>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E63"/>
    <w:rsid w:val="00E35EBF"/>
    <w:rsid w:val="00E363A9"/>
    <w:rsid w:val="00E3666E"/>
    <w:rsid w:val="00E36C3E"/>
    <w:rsid w:val="00E36D6C"/>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2C92"/>
    <w:rsid w:val="00E433A4"/>
    <w:rsid w:val="00E43A7D"/>
    <w:rsid w:val="00E43B7E"/>
    <w:rsid w:val="00E44181"/>
    <w:rsid w:val="00E443C3"/>
    <w:rsid w:val="00E443E0"/>
    <w:rsid w:val="00E4448C"/>
    <w:rsid w:val="00E445EA"/>
    <w:rsid w:val="00E44902"/>
    <w:rsid w:val="00E44D6D"/>
    <w:rsid w:val="00E44EFE"/>
    <w:rsid w:val="00E45141"/>
    <w:rsid w:val="00E455FD"/>
    <w:rsid w:val="00E4563B"/>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867"/>
    <w:rsid w:val="00E51DB3"/>
    <w:rsid w:val="00E5200A"/>
    <w:rsid w:val="00E52086"/>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92A"/>
    <w:rsid w:val="00E56EE8"/>
    <w:rsid w:val="00E579B2"/>
    <w:rsid w:val="00E601F5"/>
    <w:rsid w:val="00E60264"/>
    <w:rsid w:val="00E607B4"/>
    <w:rsid w:val="00E607CF"/>
    <w:rsid w:val="00E6092C"/>
    <w:rsid w:val="00E60A9C"/>
    <w:rsid w:val="00E60B1A"/>
    <w:rsid w:val="00E60D46"/>
    <w:rsid w:val="00E60DAC"/>
    <w:rsid w:val="00E60EFA"/>
    <w:rsid w:val="00E61097"/>
    <w:rsid w:val="00E61291"/>
    <w:rsid w:val="00E618CC"/>
    <w:rsid w:val="00E620ED"/>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27E"/>
    <w:rsid w:val="00E7432C"/>
    <w:rsid w:val="00E746AA"/>
    <w:rsid w:val="00E74736"/>
    <w:rsid w:val="00E74A72"/>
    <w:rsid w:val="00E7569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3AA"/>
    <w:rsid w:val="00E85ADE"/>
    <w:rsid w:val="00E86350"/>
    <w:rsid w:val="00E863DE"/>
    <w:rsid w:val="00E8659A"/>
    <w:rsid w:val="00E866AB"/>
    <w:rsid w:val="00E86752"/>
    <w:rsid w:val="00E86959"/>
    <w:rsid w:val="00E86E36"/>
    <w:rsid w:val="00E87577"/>
    <w:rsid w:val="00E87891"/>
    <w:rsid w:val="00E87EEF"/>
    <w:rsid w:val="00E91078"/>
    <w:rsid w:val="00E914F4"/>
    <w:rsid w:val="00E91D67"/>
    <w:rsid w:val="00E921A1"/>
    <w:rsid w:val="00E92603"/>
    <w:rsid w:val="00E927DD"/>
    <w:rsid w:val="00E928A3"/>
    <w:rsid w:val="00E92AE4"/>
    <w:rsid w:val="00E92BFE"/>
    <w:rsid w:val="00E932AF"/>
    <w:rsid w:val="00E93352"/>
    <w:rsid w:val="00E936B1"/>
    <w:rsid w:val="00E93C58"/>
    <w:rsid w:val="00E93FD2"/>
    <w:rsid w:val="00E94099"/>
    <w:rsid w:val="00E94208"/>
    <w:rsid w:val="00E94695"/>
    <w:rsid w:val="00E94A6A"/>
    <w:rsid w:val="00E94A79"/>
    <w:rsid w:val="00E94B05"/>
    <w:rsid w:val="00E94D40"/>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8EB"/>
    <w:rsid w:val="00EA4970"/>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B7F38"/>
    <w:rsid w:val="00EC00F3"/>
    <w:rsid w:val="00EC019C"/>
    <w:rsid w:val="00EC01F2"/>
    <w:rsid w:val="00EC034B"/>
    <w:rsid w:val="00EC0955"/>
    <w:rsid w:val="00EC09F6"/>
    <w:rsid w:val="00EC0BB2"/>
    <w:rsid w:val="00EC1216"/>
    <w:rsid w:val="00EC1782"/>
    <w:rsid w:val="00EC1B22"/>
    <w:rsid w:val="00EC1EAD"/>
    <w:rsid w:val="00EC2555"/>
    <w:rsid w:val="00EC2CF8"/>
    <w:rsid w:val="00EC2D1B"/>
    <w:rsid w:val="00EC34D6"/>
    <w:rsid w:val="00EC404E"/>
    <w:rsid w:val="00EC5182"/>
    <w:rsid w:val="00EC5191"/>
    <w:rsid w:val="00EC51B5"/>
    <w:rsid w:val="00EC51FD"/>
    <w:rsid w:val="00EC531B"/>
    <w:rsid w:val="00EC546B"/>
    <w:rsid w:val="00EC5FDC"/>
    <w:rsid w:val="00EC6055"/>
    <w:rsid w:val="00EC613F"/>
    <w:rsid w:val="00EC64DC"/>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30C"/>
    <w:rsid w:val="00EE31B3"/>
    <w:rsid w:val="00EE3711"/>
    <w:rsid w:val="00EE380B"/>
    <w:rsid w:val="00EE3BC2"/>
    <w:rsid w:val="00EE4D6E"/>
    <w:rsid w:val="00EE5024"/>
    <w:rsid w:val="00EE5326"/>
    <w:rsid w:val="00EE5C91"/>
    <w:rsid w:val="00EE6047"/>
    <w:rsid w:val="00EE6159"/>
    <w:rsid w:val="00EE6C01"/>
    <w:rsid w:val="00EE6D1E"/>
    <w:rsid w:val="00EE7000"/>
    <w:rsid w:val="00EE7074"/>
    <w:rsid w:val="00EE760F"/>
    <w:rsid w:val="00EE7A57"/>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EF7FDB"/>
    <w:rsid w:val="00F00116"/>
    <w:rsid w:val="00F0034A"/>
    <w:rsid w:val="00F00669"/>
    <w:rsid w:val="00F00670"/>
    <w:rsid w:val="00F0069D"/>
    <w:rsid w:val="00F00A3A"/>
    <w:rsid w:val="00F00B2D"/>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D59"/>
    <w:rsid w:val="00F14FB1"/>
    <w:rsid w:val="00F14FF3"/>
    <w:rsid w:val="00F1567A"/>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99E"/>
    <w:rsid w:val="00F25ED2"/>
    <w:rsid w:val="00F25F9A"/>
    <w:rsid w:val="00F261C3"/>
    <w:rsid w:val="00F26431"/>
    <w:rsid w:val="00F2665C"/>
    <w:rsid w:val="00F26A4B"/>
    <w:rsid w:val="00F26BD2"/>
    <w:rsid w:val="00F26C76"/>
    <w:rsid w:val="00F26E53"/>
    <w:rsid w:val="00F27025"/>
    <w:rsid w:val="00F2758A"/>
    <w:rsid w:val="00F27674"/>
    <w:rsid w:val="00F27701"/>
    <w:rsid w:val="00F27AB5"/>
    <w:rsid w:val="00F27B20"/>
    <w:rsid w:val="00F27C1E"/>
    <w:rsid w:val="00F27E8A"/>
    <w:rsid w:val="00F30062"/>
    <w:rsid w:val="00F30257"/>
    <w:rsid w:val="00F303E8"/>
    <w:rsid w:val="00F30434"/>
    <w:rsid w:val="00F30554"/>
    <w:rsid w:val="00F30BC4"/>
    <w:rsid w:val="00F31018"/>
    <w:rsid w:val="00F31256"/>
    <w:rsid w:val="00F31913"/>
    <w:rsid w:val="00F31A41"/>
    <w:rsid w:val="00F32321"/>
    <w:rsid w:val="00F32CB3"/>
    <w:rsid w:val="00F32E03"/>
    <w:rsid w:val="00F3319A"/>
    <w:rsid w:val="00F331DD"/>
    <w:rsid w:val="00F33771"/>
    <w:rsid w:val="00F3404B"/>
    <w:rsid w:val="00F34054"/>
    <w:rsid w:val="00F340CC"/>
    <w:rsid w:val="00F34635"/>
    <w:rsid w:val="00F34A54"/>
    <w:rsid w:val="00F34E1A"/>
    <w:rsid w:val="00F34EA0"/>
    <w:rsid w:val="00F34F52"/>
    <w:rsid w:val="00F34F85"/>
    <w:rsid w:val="00F3505A"/>
    <w:rsid w:val="00F35669"/>
    <w:rsid w:val="00F36013"/>
    <w:rsid w:val="00F3641A"/>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ED"/>
    <w:rsid w:val="00F4200F"/>
    <w:rsid w:val="00F42064"/>
    <w:rsid w:val="00F42914"/>
    <w:rsid w:val="00F42B4E"/>
    <w:rsid w:val="00F4319A"/>
    <w:rsid w:val="00F4379E"/>
    <w:rsid w:val="00F44030"/>
    <w:rsid w:val="00F4479D"/>
    <w:rsid w:val="00F44F40"/>
    <w:rsid w:val="00F4511A"/>
    <w:rsid w:val="00F455DD"/>
    <w:rsid w:val="00F45C0E"/>
    <w:rsid w:val="00F45DB4"/>
    <w:rsid w:val="00F460FD"/>
    <w:rsid w:val="00F461C9"/>
    <w:rsid w:val="00F46700"/>
    <w:rsid w:val="00F467DF"/>
    <w:rsid w:val="00F46A1E"/>
    <w:rsid w:val="00F4707B"/>
    <w:rsid w:val="00F471C7"/>
    <w:rsid w:val="00F47A0A"/>
    <w:rsid w:val="00F47D28"/>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037"/>
    <w:rsid w:val="00F541E4"/>
    <w:rsid w:val="00F54675"/>
    <w:rsid w:val="00F54810"/>
    <w:rsid w:val="00F54C34"/>
    <w:rsid w:val="00F54CEB"/>
    <w:rsid w:val="00F551D4"/>
    <w:rsid w:val="00F551DC"/>
    <w:rsid w:val="00F55CB2"/>
    <w:rsid w:val="00F55FC3"/>
    <w:rsid w:val="00F56149"/>
    <w:rsid w:val="00F56731"/>
    <w:rsid w:val="00F56850"/>
    <w:rsid w:val="00F56FFA"/>
    <w:rsid w:val="00F5713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65"/>
    <w:rsid w:val="00F65EDB"/>
    <w:rsid w:val="00F66093"/>
    <w:rsid w:val="00F660F0"/>
    <w:rsid w:val="00F66635"/>
    <w:rsid w:val="00F66656"/>
    <w:rsid w:val="00F66D19"/>
    <w:rsid w:val="00F671B6"/>
    <w:rsid w:val="00F671F9"/>
    <w:rsid w:val="00F676FD"/>
    <w:rsid w:val="00F67A76"/>
    <w:rsid w:val="00F70362"/>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1F"/>
    <w:rsid w:val="00F76DD7"/>
    <w:rsid w:val="00F76F23"/>
    <w:rsid w:val="00F77061"/>
    <w:rsid w:val="00F776F4"/>
    <w:rsid w:val="00F77852"/>
    <w:rsid w:val="00F77A39"/>
    <w:rsid w:val="00F800CB"/>
    <w:rsid w:val="00F80535"/>
    <w:rsid w:val="00F8148A"/>
    <w:rsid w:val="00F814E9"/>
    <w:rsid w:val="00F81709"/>
    <w:rsid w:val="00F817FC"/>
    <w:rsid w:val="00F81AE4"/>
    <w:rsid w:val="00F81D7F"/>
    <w:rsid w:val="00F824B5"/>
    <w:rsid w:val="00F82545"/>
    <w:rsid w:val="00F82A32"/>
    <w:rsid w:val="00F82F11"/>
    <w:rsid w:val="00F82FE4"/>
    <w:rsid w:val="00F830F4"/>
    <w:rsid w:val="00F83523"/>
    <w:rsid w:val="00F837E8"/>
    <w:rsid w:val="00F83A89"/>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7307"/>
    <w:rsid w:val="00F874CB"/>
    <w:rsid w:val="00F876CA"/>
    <w:rsid w:val="00F9001E"/>
    <w:rsid w:val="00F909A8"/>
    <w:rsid w:val="00F90A51"/>
    <w:rsid w:val="00F90D11"/>
    <w:rsid w:val="00F90DB0"/>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35E"/>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B22"/>
    <w:rsid w:val="00FA6BE1"/>
    <w:rsid w:val="00FA70D8"/>
    <w:rsid w:val="00FA74AE"/>
    <w:rsid w:val="00FA74C6"/>
    <w:rsid w:val="00FA7696"/>
    <w:rsid w:val="00FA7CDB"/>
    <w:rsid w:val="00FB0069"/>
    <w:rsid w:val="00FB03BA"/>
    <w:rsid w:val="00FB0832"/>
    <w:rsid w:val="00FB0B9C"/>
    <w:rsid w:val="00FB0BCD"/>
    <w:rsid w:val="00FB0D3B"/>
    <w:rsid w:val="00FB10CB"/>
    <w:rsid w:val="00FB1309"/>
    <w:rsid w:val="00FB18AC"/>
    <w:rsid w:val="00FB19E7"/>
    <w:rsid w:val="00FB1E8A"/>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DC7"/>
    <w:rsid w:val="00FC4E2D"/>
    <w:rsid w:val="00FC5360"/>
    <w:rsid w:val="00FC57FC"/>
    <w:rsid w:val="00FC59B4"/>
    <w:rsid w:val="00FC5FEF"/>
    <w:rsid w:val="00FC6050"/>
    <w:rsid w:val="00FC612F"/>
    <w:rsid w:val="00FC619A"/>
    <w:rsid w:val="00FC64D5"/>
    <w:rsid w:val="00FC67ED"/>
    <w:rsid w:val="00FC68E1"/>
    <w:rsid w:val="00FC6B25"/>
    <w:rsid w:val="00FC6CB7"/>
    <w:rsid w:val="00FC76EB"/>
    <w:rsid w:val="00FC77CB"/>
    <w:rsid w:val="00FC7810"/>
    <w:rsid w:val="00FC7982"/>
    <w:rsid w:val="00FC7AA0"/>
    <w:rsid w:val="00FC7FC6"/>
    <w:rsid w:val="00FD00C2"/>
    <w:rsid w:val="00FD04B3"/>
    <w:rsid w:val="00FD0A7F"/>
    <w:rsid w:val="00FD0AA7"/>
    <w:rsid w:val="00FD0CEA"/>
    <w:rsid w:val="00FD0D22"/>
    <w:rsid w:val="00FD0D9B"/>
    <w:rsid w:val="00FD1074"/>
    <w:rsid w:val="00FD119B"/>
    <w:rsid w:val="00FD1B97"/>
    <w:rsid w:val="00FD1E48"/>
    <w:rsid w:val="00FD274A"/>
    <w:rsid w:val="00FD324D"/>
    <w:rsid w:val="00FD360C"/>
    <w:rsid w:val="00FD3B55"/>
    <w:rsid w:val="00FD437B"/>
    <w:rsid w:val="00FD43A0"/>
    <w:rsid w:val="00FD4859"/>
    <w:rsid w:val="00FD515E"/>
    <w:rsid w:val="00FD54B0"/>
    <w:rsid w:val="00FD54F6"/>
    <w:rsid w:val="00FD5511"/>
    <w:rsid w:val="00FD576E"/>
    <w:rsid w:val="00FD5C39"/>
    <w:rsid w:val="00FD5C77"/>
    <w:rsid w:val="00FD6104"/>
    <w:rsid w:val="00FD6540"/>
    <w:rsid w:val="00FD6C64"/>
    <w:rsid w:val="00FD75BE"/>
    <w:rsid w:val="00FD7683"/>
    <w:rsid w:val="00FD76F5"/>
    <w:rsid w:val="00FD7DEE"/>
    <w:rsid w:val="00FD7FE6"/>
    <w:rsid w:val="00FE0389"/>
    <w:rsid w:val="00FE05B4"/>
    <w:rsid w:val="00FE0975"/>
    <w:rsid w:val="00FE0C3D"/>
    <w:rsid w:val="00FE0D02"/>
    <w:rsid w:val="00FE0E64"/>
    <w:rsid w:val="00FE11B7"/>
    <w:rsid w:val="00FE1350"/>
    <w:rsid w:val="00FE14A9"/>
    <w:rsid w:val="00FE1AC8"/>
    <w:rsid w:val="00FE1C57"/>
    <w:rsid w:val="00FE1E3A"/>
    <w:rsid w:val="00FE23C2"/>
    <w:rsid w:val="00FE2B1B"/>
    <w:rsid w:val="00FE2BCC"/>
    <w:rsid w:val="00FE3089"/>
    <w:rsid w:val="00FE3112"/>
    <w:rsid w:val="00FE3674"/>
    <w:rsid w:val="00FE38F0"/>
    <w:rsid w:val="00FE40BD"/>
    <w:rsid w:val="00FE435D"/>
    <w:rsid w:val="00FE4687"/>
    <w:rsid w:val="00FE4743"/>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78A"/>
    <w:rsid w:val="00FF0C7F"/>
    <w:rsid w:val="00FF137E"/>
    <w:rsid w:val="00FF13A8"/>
    <w:rsid w:val="00FF14DA"/>
    <w:rsid w:val="00FF15B4"/>
    <w:rsid w:val="00FF182C"/>
    <w:rsid w:val="00FF1CA6"/>
    <w:rsid w:val="00FF26E1"/>
    <w:rsid w:val="00FF2804"/>
    <w:rsid w:val="00FF2A4E"/>
    <w:rsid w:val="00FF2BFF"/>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E2"/>
    <w:rsid w:val="00FF678F"/>
    <w:rsid w:val="00FF6CD1"/>
    <w:rsid w:val="00FF6F59"/>
    <w:rsid w:val="00FF7077"/>
    <w:rsid w:val="00FF75FC"/>
    <w:rsid w:val="00FF7A60"/>
    <w:rsid w:val="00FF7A90"/>
    <w:rsid w:val="00FF7E4D"/>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8F1416"/>
    <w:rsid w:val="019E1D4A"/>
    <w:rsid w:val="01AB094A"/>
    <w:rsid w:val="01AE21DC"/>
    <w:rsid w:val="01B306E4"/>
    <w:rsid w:val="01D27A5F"/>
    <w:rsid w:val="01DF44FB"/>
    <w:rsid w:val="01F37365"/>
    <w:rsid w:val="02004B2C"/>
    <w:rsid w:val="0201766A"/>
    <w:rsid w:val="02035721"/>
    <w:rsid w:val="02151F95"/>
    <w:rsid w:val="02211A0E"/>
    <w:rsid w:val="022A4AA1"/>
    <w:rsid w:val="022E47B0"/>
    <w:rsid w:val="023D4739"/>
    <w:rsid w:val="02554599"/>
    <w:rsid w:val="02554999"/>
    <w:rsid w:val="02565169"/>
    <w:rsid w:val="02574326"/>
    <w:rsid w:val="025B75F9"/>
    <w:rsid w:val="026A3596"/>
    <w:rsid w:val="02720839"/>
    <w:rsid w:val="02762CB4"/>
    <w:rsid w:val="02767EF6"/>
    <w:rsid w:val="02827220"/>
    <w:rsid w:val="029B47FF"/>
    <w:rsid w:val="02A461E0"/>
    <w:rsid w:val="02B34E07"/>
    <w:rsid w:val="02C40A2A"/>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E2B70"/>
    <w:rsid w:val="03B21B06"/>
    <w:rsid w:val="03B6607F"/>
    <w:rsid w:val="03BB3F8C"/>
    <w:rsid w:val="03C200B6"/>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8A6BEC"/>
    <w:rsid w:val="0492209E"/>
    <w:rsid w:val="049406C4"/>
    <w:rsid w:val="04A41089"/>
    <w:rsid w:val="04B345F7"/>
    <w:rsid w:val="04BE7DD0"/>
    <w:rsid w:val="04C3027A"/>
    <w:rsid w:val="04CD0148"/>
    <w:rsid w:val="04DB15CE"/>
    <w:rsid w:val="04E84D77"/>
    <w:rsid w:val="04EB3650"/>
    <w:rsid w:val="04ED1825"/>
    <w:rsid w:val="05001051"/>
    <w:rsid w:val="050D0125"/>
    <w:rsid w:val="05155929"/>
    <w:rsid w:val="051621E5"/>
    <w:rsid w:val="05202FFD"/>
    <w:rsid w:val="052B2B3D"/>
    <w:rsid w:val="05380984"/>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82356"/>
    <w:rsid w:val="064244D9"/>
    <w:rsid w:val="06511ACC"/>
    <w:rsid w:val="06564BA4"/>
    <w:rsid w:val="066A602E"/>
    <w:rsid w:val="067751BD"/>
    <w:rsid w:val="06A11B02"/>
    <w:rsid w:val="06BA6ABF"/>
    <w:rsid w:val="06C62058"/>
    <w:rsid w:val="06CF7159"/>
    <w:rsid w:val="06D32D7E"/>
    <w:rsid w:val="06E21138"/>
    <w:rsid w:val="06E64C63"/>
    <w:rsid w:val="06F24EF2"/>
    <w:rsid w:val="06FD40DB"/>
    <w:rsid w:val="07082E19"/>
    <w:rsid w:val="071C09FC"/>
    <w:rsid w:val="07437B7C"/>
    <w:rsid w:val="07470651"/>
    <w:rsid w:val="074F79E7"/>
    <w:rsid w:val="07565B77"/>
    <w:rsid w:val="075815C4"/>
    <w:rsid w:val="075960B3"/>
    <w:rsid w:val="078A01E7"/>
    <w:rsid w:val="078A415E"/>
    <w:rsid w:val="07934010"/>
    <w:rsid w:val="079D12CF"/>
    <w:rsid w:val="07A46BE4"/>
    <w:rsid w:val="07AE7932"/>
    <w:rsid w:val="07B814E5"/>
    <w:rsid w:val="07C25F74"/>
    <w:rsid w:val="07D013A8"/>
    <w:rsid w:val="07D648D8"/>
    <w:rsid w:val="07E22A7A"/>
    <w:rsid w:val="07F8491F"/>
    <w:rsid w:val="07FB29C2"/>
    <w:rsid w:val="07FD44E9"/>
    <w:rsid w:val="08042FBA"/>
    <w:rsid w:val="0805407D"/>
    <w:rsid w:val="080E66E4"/>
    <w:rsid w:val="08127126"/>
    <w:rsid w:val="08132E8B"/>
    <w:rsid w:val="081467CE"/>
    <w:rsid w:val="081D0E45"/>
    <w:rsid w:val="081D706E"/>
    <w:rsid w:val="08253679"/>
    <w:rsid w:val="0829358F"/>
    <w:rsid w:val="083D716A"/>
    <w:rsid w:val="084B79E5"/>
    <w:rsid w:val="085A74A5"/>
    <w:rsid w:val="085D519A"/>
    <w:rsid w:val="086378F2"/>
    <w:rsid w:val="086D1BC3"/>
    <w:rsid w:val="08706B4B"/>
    <w:rsid w:val="088A1CFB"/>
    <w:rsid w:val="088B79C8"/>
    <w:rsid w:val="08917913"/>
    <w:rsid w:val="08A43A02"/>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63A15"/>
    <w:rsid w:val="09DE356F"/>
    <w:rsid w:val="0A0518AB"/>
    <w:rsid w:val="0A0D50DF"/>
    <w:rsid w:val="0A17229C"/>
    <w:rsid w:val="0A245887"/>
    <w:rsid w:val="0A32370E"/>
    <w:rsid w:val="0A3247B9"/>
    <w:rsid w:val="0A3376ED"/>
    <w:rsid w:val="0A585A2D"/>
    <w:rsid w:val="0A594E3E"/>
    <w:rsid w:val="0A5C144D"/>
    <w:rsid w:val="0A5C768D"/>
    <w:rsid w:val="0A6B68D5"/>
    <w:rsid w:val="0A6F50FD"/>
    <w:rsid w:val="0A722E39"/>
    <w:rsid w:val="0A934843"/>
    <w:rsid w:val="0A980D85"/>
    <w:rsid w:val="0A997081"/>
    <w:rsid w:val="0A9E4A8D"/>
    <w:rsid w:val="0A9F2012"/>
    <w:rsid w:val="0AA42F1E"/>
    <w:rsid w:val="0AAA6D9C"/>
    <w:rsid w:val="0AB15DD5"/>
    <w:rsid w:val="0AB53627"/>
    <w:rsid w:val="0AB6376C"/>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E5D46"/>
    <w:rsid w:val="0B3A4E5B"/>
    <w:rsid w:val="0B536C32"/>
    <w:rsid w:val="0B5823AA"/>
    <w:rsid w:val="0B595FAD"/>
    <w:rsid w:val="0B5A2F4E"/>
    <w:rsid w:val="0B6E0FF5"/>
    <w:rsid w:val="0B773945"/>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C005070"/>
    <w:rsid w:val="0C195365"/>
    <w:rsid w:val="0C1A6BD3"/>
    <w:rsid w:val="0C1D70C9"/>
    <w:rsid w:val="0C266D9C"/>
    <w:rsid w:val="0C6F4E58"/>
    <w:rsid w:val="0C76751C"/>
    <w:rsid w:val="0C9E5B83"/>
    <w:rsid w:val="0CBD7CE0"/>
    <w:rsid w:val="0CFB1DB9"/>
    <w:rsid w:val="0D103D70"/>
    <w:rsid w:val="0D1C1B50"/>
    <w:rsid w:val="0D220294"/>
    <w:rsid w:val="0D283356"/>
    <w:rsid w:val="0D3A4A42"/>
    <w:rsid w:val="0D413ECD"/>
    <w:rsid w:val="0D5773D6"/>
    <w:rsid w:val="0D594DB6"/>
    <w:rsid w:val="0D632B1E"/>
    <w:rsid w:val="0D6E771D"/>
    <w:rsid w:val="0D7D7848"/>
    <w:rsid w:val="0D80206A"/>
    <w:rsid w:val="0D8E173E"/>
    <w:rsid w:val="0DA10A04"/>
    <w:rsid w:val="0DAB37C5"/>
    <w:rsid w:val="0DD74FA9"/>
    <w:rsid w:val="0DF13B47"/>
    <w:rsid w:val="0E0A5187"/>
    <w:rsid w:val="0E332166"/>
    <w:rsid w:val="0E3917FF"/>
    <w:rsid w:val="0E4B4C91"/>
    <w:rsid w:val="0E4D5766"/>
    <w:rsid w:val="0E613656"/>
    <w:rsid w:val="0E633F79"/>
    <w:rsid w:val="0E72787E"/>
    <w:rsid w:val="0E86024B"/>
    <w:rsid w:val="0E8645C8"/>
    <w:rsid w:val="0E9F5739"/>
    <w:rsid w:val="0E9F7159"/>
    <w:rsid w:val="0EB37BB2"/>
    <w:rsid w:val="0EC3008E"/>
    <w:rsid w:val="0EC5059A"/>
    <w:rsid w:val="0ED9547E"/>
    <w:rsid w:val="0EDB339F"/>
    <w:rsid w:val="0EF10F2E"/>
    <w:rsid w:val="0EF53E39"/>
    <w:rsid w:val="0F1155E2"/>
    <w:rsid w:val="0F125211"/>
    <w:rsid w:val="0F152A9D"/>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16B6A"/>
    <w:rsid w:val="0F82210C"/>
    <w:rsid w:val="0F950757"/>
    <w:rsid w:val="0FA023BF"/>
    <w:rsid w:val="0FA36B70"/>
    <w:rsid w:val="0FA36D3D"/>
    <w:rsid w:val="0FA37671"/>
    <w:rsid w:val="0FAC2C6D"/>
    <w:rsid w:val="0FB70395"/>
    <w:rsid w:val="0FBA4112"/>
    <w:rsid w:val="0FBB10D0"/>
    <w:rsid w:val="0FC96156"/>
    <w:rsid w:val="0FDA6A10"/>
    <w:rsid w:val="0FE473BA"/>
    <w:rsid w:val="0FEC2D9A"/>
    <w:rsid w:val="10014099"/>
    <w:rsid w:val="10040C3F"/>
    <w:rsid w:val="100A0456"/>
    <w:rsid w:val="100B59FA"/>
    <w:rsid w:val="10110CDB"/>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85CE4"/>
    <w:rsid w:val="10A27296"/>
    <w:rsid w:val="10A32DF1"/>
    <w:rsid w:val="10A45B57"/>
    <w:rsid w:val="10A50D79"/>
    <w:rsid w:val="10AB24DF"/>
    <w:rsid w:val="10BC2AE5"/>
    <w:rsid w:val="10D42E50"/>
    <w:rsid w:val="10D653BA"/>
    <w:rsid w:val="10DB6356"/>
    <w:rsid w:val="10EF5ED1"/>
    <w:rsid w:val="10F2465E"/>
    <w:rsid w:val="10F42936"/>
    <w:rsid w:val="10FA231C"/>
    <w:rsid w:val="112A5200"/>
    <w:rsid w:val="112B7604"/>
    <w:rsid w:val="11306888"/>
    <w:rsid w:val="1132026E"/>
    <w:rsid w:val="1168799E"/>
    <w:rsid w:val="11885738"/>
    <w:rsid w:val="118A295D"/>
    <w:rsid w:val="118B5FDD"/>
    <w:rsid w:val="119569CB"/>
    <w:rsid w:val="11A10C39"/>
    <w:rsid w:val="11A64DBC"/>
    <w:rsid w:val="11AD59AB"/>
    <w:rsid w:val="11AF324A"/>
    <w:rsid w:val="11B31B1D"/>
    <w:rsid w:val="11B814E6"/>
    <w:rsid w:val="11BE6CAE"/>
    <w:rsid w:val="11C557B7"/>
    <w:rsid w:val="11FA160D"/>
    <w:rsid w:val="1228310E"/>
    <w:rsid w:val="122C565F"/>
    <w:rsid w:val="12313D6F"/>
    <w:rsid w:val="12325B1D"/>
    <w:rsid w:val="1244691E"/>
    <w:rsid w:val="1251591B"/>
    <w:rsid w:val="12610602"/>
    <w:rsid w:val="126210D5"/>
    <w:rsid w:val="126B461E"/>
    <w:rsid w:val="126F7AC0"/>
    <w:rsid w:val="1270704D"/>
    <w:rsid w:val="127D72F2"/>
    <w:rsid w:val="128D0509"/>
    <w:rsid w:val="128F7C36"/>
    <w:rsid w:val="12960440"/>
    <w:rsid w:val="12A908D3"/>
    <w:rsid w:val="12AA7F02"/>
    <w:rsid w:val="12B31A9B"/>
    <w:rsid w:val="12B359F6"/>
    <w:rsid w:val="12B47253"/>
    <w:rsid w:val="12C14396"/>
    <w:rsid w:val="12DE33CA"/>
    <w:rsid w:val="12F83AAE"/>
    <w:rsid w:val="12FC274E"/>
    <w:rsid w:val="12FF52DE"/>
    <w:rsid w:val="13030235"/>
    <w:rsid w:val="13063F94"/>
    <w:rsid w:val="131A1EB8"/>
    <w:rsid w:val="131D547C"/>
    <w:rsid w:val="13344C16"/>
    <w:rsid w:val="13400A22"/>
    <w:rsid w:val="1343505A"/>
    <w:rsid w:val="134546AC"/>
    <w:rsid w:val="13544A6B"/>
    <w:rsid w:val="13596CEC"/>
    <w:rsid w:val="1359756C"/>
    <w:rsid w:val="135C3AB9"/>
    <w:rsid w:val="136B08B3"/>
    <w:rsid w:val="13744B61"/>
    <w:rsid w:val="137A40BD"/>
    <w:rsid w:val="138F4ADA"/>
    <w:rsid w:val="13910B1E"/>
    <w:rsid w:val="1392098C"/>
    <w:rsid w:val="13B563DA"/>
    <w:rsid w:val="13B772BD"/>
    <w:rsid w:val="13BD31AB"/>
    <w:rsid w:val="13C1348F"/>
    <w:rsid w:val="13CD27B6"/>
    <w:rsid w:val="13E022AE"/>
    <w:rsid w:val="13E532CA"/>
    <w:rsid w:val="13ED0B0B"/>
    <w:rsid w:val="13ED7D7F"/>
    <w:rsid w:val="13F03755"/>
    <w:rsid w:val="13F96221"/>
    <w:rsid w:val="14007100"/>
    <w:rsid w:val="14041834"/>
    <w:rsid w:val="140C178D"/>
    <w:rsid w:val="14142D39"/>
    <w:rsid w:val="14145A78"/>
    <w:rsid w:val="14176353"/>
    <w:rsid w:val="141F7FB3"/>
    <w:rsid w:val="14242FDA"/>
    <w:rsid w:val="142D67FD"/>
    <w:rsid w:val="14436E72"/>
    <w:rsid w:val="144F55C3"/>
    <w:rsid w:val="1450322B"/>
    <w:rsid w:val="14547E86"/>
    <w:rsid w:val="14637D36"/>
    <w:rsid w:val="146B2919"/>
    <w:rsid w:val="14775F02"/>
    <w:rsid w:val="147C2A02"/>
    <w:rsid w:val="147E33CA"/>
    <w:rsid w:val="1487373C"/>
    <w:rsid w:val="14960C1B"/>
    <w:rsid w:val="14B0700C"/>
    <w:rsid w:val="14BE42CF"/>
    <w:rsid w:val="14C02505"/>
    <w:rsid w:val="14C10602"/>
    <w:rsid w:val="14C34089"/>
    <w:rsid w:val="14DA25EE"/>
    <w:rsid w:val="14DB33FC"/>
    <w:rsid w:val="14DD38E5"/>
    <w:rsid w:val="14DE0AFC"/>
    <w:rsid w:val="14E7787F"/>
    <w:rsid w:val="14F44F2E"/>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352BE"/>
    <w:rsid w:val="15EB4378"/>
    <w:rsid w:val="15FB4E72"/>
    <w:rsid w:val="160B185E"/>
    <w:rsid w:val="16106849"/>
    <w:rsid w:val="16142093"/>
    <w:rsid w:val="1628036C"/>
    <w:rsid w:val="16435A3F"/>
    <w:rsid w:val="164E6878"/>
    <w:rsid w:val="165E0F0A"/>
    <w:rsid w:val="16702D89"/>
    <w:rsid w:val="16704155"/>
    <w:rsid w:val="16721938"/>
    <w:rsid w:val="16796F0F"/>
    <w:rsid w:val="1688556A"/>
    <w:rsid w:val="169839BA"/>
    <w:rsid w:val="169D05F3"/>
    <w:rsid w:val="16A00FDF"/>
    <w:rsid w:val="16A32AAC"/>
    <w:rsid w:val="16A470C1"/>
    <w:rsid w:val="16AF0615"/>
    <w:rsid w:val="16B13FB1"/>
    <w:rsid w:val="16BD0B49"/>
    <w:rsid w:val="16D50CFC"/>
    <w:rsid w:val="16E33AB3"/>
    <w:rsid w:val="16EB76EF"/>
    <w:rsid w:val="16F1418C"/>
    <w:rsid w:val="16FF0792"/>
    <w:rsid w:val="17141C1D"/>
    <w:rsid w:val="171B0546"/>
    <w:rsid w:val="17283764"/>
    <w:rsid w:val="17304A49"/>
    <w:rsid w:val="173353C2"/>
    <w:rsid w:val="174224E7"/>
    <w:rsid w:val="17493381"/>
    <w:rsid w:val="174C5C47"/>
    <w:rsid w:val="176355E5"/>
    <w:rsid w:val="176A51F7"/>
    <w:rsid w:val="17831475"/>
    <w:rsid w:val="178359D2"/>
    <w:rsid w:val="17874ED3"/>
    <w:rsid w:val="17886A2C"/>
    <w:rsid w:val="178F26E7"/>
    <w:rsid w:val="178F77F8"/>
    <w:rsid w:val="17966843"/>
    <w:rsid w:val="17A9660F"/>
    <w:rsid w:val="17C33EF7"/>
    <w:rsid w:val="17D04B6E"/>
    <w:rsid w:val="17D80F4C"/>
    <w:rsid w:val="17E14521"/>
    <w:rsid w:val="17EA61AE"/>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C5316D"/>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D1732F"/>
    <w:rsid w:val="19D842E3"/>
    <w:rsid w:val="19E502ED"/>
    <w:rsid w:val="19F92180"/>
    <w:rsid w:val="1A001213"/>
    <w:rsid w:val="1A0D4248"/>
    <w:rsid w:val="1A200A74"/>
    <w:rsid w:val="1A224DDA"/>
    <w:rsid w:val="1A2619C2"/>
    <w:rsid w:val="1A273DF6"/>
    <w:rsid w:val="1A2F2398"/>
    <w:rsid w:val="1A3055B8"/>
    <w:rsid w:val="1A5655AF"/>
    <w:rsid w:val="1A581194"/>
    <w:rsid w:val="1A5F508B"/>
    <w:rsid w:val="1A69797C"/>
    <w:rsid w:val="1A6B5CD7"/>
    <w:rsid w:val="1A98475D"/>
    <w:rsid w:val="1A9B675D"/>
    <w:rsid w:val="1AA31400"/>
    <w:rsid w:val="1AD153DF"/>
    <w:rsid w:val="1AD36372"/>
    <w:rsid w:val="1AD66584"/>
    <w:rsid w:val="1ADE3E70"/>
    <w:rsid w:val="1AE032B7"/>
    <w:rsid w:val="1AE42348"/>
    <w:rsid w:val="1AE5004C"/>
    <w:rsid w:val="1AF2383D"/>
    <w:rsid w:val="1B012875"/>
    <w:rsid w:val="1B157C1A"/>
    <w:rsid w:val="1B1A6E4B"/>
    <w:rsid w:val="1B203049"/>
    <w:rsid w:val="1B211C8A"/>
    <w:rsid w:val="1B2C2234"/>
    <w:rsid w:val="1B325062"/>
    <w:rsid w:val="1B36456A"/>
    <w:rsid w:val="1B3C7045"/>
    <w:rsid w:val="1B572C7F"/>
    <w:rsid w:val="1B5734B2"/>
    <w:rsid w:val="1B60050A"/>
    <w:rsid w:val="1B741EAE"/>
    <w:rsid w:val="1B99173F"/>
    <w:rsid w:val="1B9E5782"/>
    <w:rsid w:val="1B9F2F5B"/>
    <w:rsid w:val="1BA31D38"/>
    <w:rsid w:val="1BAD0A5E"/>
    <w:rsid w:val="1BB15A38"/>
    <w:rsid w:val="1BB32D92"/>
    <w:rsid w:val="1BCA4E13"/>
    <w:rsid w:val="1BD238BF"/>
    <w:rsid w:val="1BD93E58"/>
    <w:rsid w:val="1BE50CEC"/>
    <w:rsid w:val="1BE75134"/>
    <w:rsid w:val="1BEB39AC"/>
    <w:rsid w:val="1BFA36C9"/>
    <w:rsid w:val="1C037418"/>
    <w:rsid w:val="1C19757C"/>
    <w:rsid w:val="1C3C5A93"/>
    <w:rsid w:val="1C3D2E04"/>
    <w:rsid w:val="1C3D5C01"/>
    <w:rsid w:val="1C4811FB"/>
    <w:rsid w:val="1C4852DE"/>
    <w:rsid w:val="1C4D45E0"/>
    <w:rsid w:val="1C512857"/>
    <w:rsid w:val="1C5276D3"/>
    <w:rsid w:val="1C643148"/>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5582C"/>
    <w:rsid w:val="1DBC1C44"/>
    <w:rsid w:val="1DCA4CD3"/>
    <w:rsid w:val="1DCC2895"/>
    <w:rsid w:val="1DD222AA"/>
    <w:rsid w:val="1DD4692F"/>
    <w:rsid w:val="1DF24DA6"/>
    <w:rsid w:val="1DF43659"/>
    <w:rsid w:val="1DFC21EE"/>
    <w:rsid w:val="1E096FC1"/>
    <w:rsid w:val="1E0E4DD7"/>
    <w:rsid w:val="1E1159C0"/>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F23920"/>
    <w:rsid w:val="1EF80396"/>
    <w:rsid w:val="1F025038"/>
    <w:rsid w:val="1F032AB6"/>
    <w:rsid w:val="1F06550F"/>
    <w:rsid w:val="1F1C29EF"/>
    <w:rsid w:val="1F234826"/>
    <w:rsid w:val="1F31645A"/>
    <w:rsid w:val="1F3B0B82"/>
    <w:rsid w:val="1F4773C4"/>
    <w:rsid w:val="1F490531"/>
    <w:rsid w:val="1F4934E4"/>
    <w:rsid w:val="1F4C44D7"/>
    <w:rsid w:val="1F517BAC"/>
    <w:rsid w:val="1F5C56B9"/>
    <w:rsid w:val="1F5E0D38"/>
    <w:rsid w:val="1F5F4414"/>
    <w:rsid w:val="1F637F58"/>
    <w:rsid w:val="1F826970"/>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934821"/>
    <w:rsid w:val="20A13861"/>
    <w:rsid w:val="20A1469C"/>
    <w:rsid w:val="20A73604"/>
    <w:rsid w:val="20BB0C31"/>
    <w:rsid w:val="20C66D8E"/>
    <w:rsid w:val="20CF37FC"/>
    <w:rsid w:val="20D717F3"/>
    <w:rsid w:val="20E02D05"/>
    <w:rsid w:val="20E174BD"/>
    <w:rsid w:val="20F01565"/>
    <w:rsid w:val="20F12135"/>
    <w:rsid w:val="20F90AAC"/>
    <w:rsid w:val="20FA405B"/>
    <w:rsid w:val="20FE0B65"/>
    <w:rsid w:val="21041267"/>
    <w:rsid w:val="212B616E"/>
    <w:rsid w:val="213121BA"/>
    <w:rsid w:val="21326410"/>
    <w:rsid w:val="214A2960"/>
    <w:rsid w:val="214D20D4"/>
    <w:rsid w:val="215302B9"/>
    <w:rsid w:val="215670DE"/>
    <w:rsid w:val="217102B7"/>
    <w:rsid w:val="2183462B"/>
    <w:rsid w:val="218E4A09"/>
    <w:rsid w:val="218E6399"/>
    <w:rsid w:val="219C6DDD"/>
    <w:rsid w:val="21A65C3E"/>
    <w:rsid w:val="21BB2F28"/>
    <w:rsid w:val="21DF3292"/>
    <w:rsid w:val="21DF71DE"/>
    <w:rsid w:val="21FE4E4A"/>
    <w:rsid w:val="22111157"/>
    <w:rsid w:val="2226397C"/>
    <w:rsid w:val="2229623B"/>
    <w:rsid w:val="223A67A6"/>
    <w:rsid w:val="22477192"/>
    <w:rsid w:val="224C2951"/>
    <w:rsid w:val="22762010"/>
    <w:rsid w:val="227A54E3"/>
    <w:rsid w:val="22865CFC"/>
    <w:rsid w:val="228738BF"/>
    <w:rsid w:val="22964C60"/>
    <w:rsid w:val="22B0505D"/>
    <w:rsid w:val="22BA31B9"/>
    <w:rsid w:val="22BD3256"/>
    <w:rsid w:val="22BD4E7D"/>
    <w:rsid w:val="22D07449"/>
    <w:rsid w:val="22E40F3D"/>
    <w:rsid w:val="22FC6881"/>
    <w:rsid w:val="230B248C"/>
    <w:rsid w:val="231847B8"/>
    <w:rsid w:val="231E3ED2"/>
    <w:rsid w:val="23245E3C"/>
    <w:rsid w:val="23304ABE"/>
    <w:rsid w:val="234421C7"/>
    <w:rsid w:val="234D61BE"/>
    <w:rsid w:val="23500A60"/>
    <w:rsid w:val="23537C14"/>
    <w:rsid w:val="235807FE"/>
    <w:rsid w:val="2362645B"/>
    <w:rsid w:val="236E0B9E"/>
    <w:rsid w:val="23700EEA"/>
    <w:rsid w:val="2373688C"/>
    <w:rsid w:val="237C41A0"/>
    <w:rsid w:val="238C42D2"/>
    <w:rsid w:val="23912F5D"/>
    <w:rsid w:val="2393048F"/>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B346B5"/>
    <w:rsid w:val="24B606B7"/>
    <w:rsid w:val="24D92A69"/>
    <w:rsid w:val="24EC3BCA"/>
    <w:rsid w:val="24EC4ADF"/>
    <w:rsid w:val="24EF6448"/>
    <w:rsid w:val="24F71B8F"/>
    <w:rsid w:val="24F92CDE"/>
    <w:rsid w:val="250A2221"/>
    <w:rsid w:val="250C0B5D"/>
    <w:rsid w:val="251D528F"/>
    <w:rsid w:val="2526703C"/>
    <w:rsid w:val="25335BFF"/>
    <w:rsid w:val="25353A77"/>
    <w:rsid w:val="253D4E51"/>
    <w:rsid w:val="25462DA6"/>
    <w:rsid w:val="255E002A"/>
    <w:rsid w:val="25893EFE"/>
    <w:rsid w:val="2598706E"/>
    <w:rsid w:val="25A115C9"/>
    <w:rsid w:val="25B02203"/>
    <w:rsid w:val="25B35E6A"/>
    <w:rsid w:val="25BE6749"/>
    <w:rsid w:val="25DE0185"/>
    <w:rsid w:val="25E04003"/>
    <w:rsid w:val="25EE6875"/>
    <w:rsid w:val="25F86534"/>
    <w:rsid w:val="26056FD7"/>
    <w:rsid w:val="260C334C"/>
    <w:rsid w:val="26276BC7"/>
    <w:rsid w:val="262E1EAD"/>
    <w:rsid w:val="26412189"/>
    <w:rsid w:val="26517452"/>
    <w:rsid w:val="26566E1C"/>
    <w:rsid w:val="26613FB9"/>
    <w:rsid w:val="2679079E"/>
    <w:rsid w:val="268120E0"/>
    <w:rsid w:val="268B4EFD"/>
    <w:rsid w:val="269F3FC9"/>
    <w:rsid w:val="26A10A64"/>
    <w:rsid w:val="26A24282"/>
    <w:rsid w:val="26A84F52"/>
    <w:rsid w:val="26BB6790"/>
    <w:rsid w:val="26C84C3F"/>
    <w:rsid w:val="26CA39FA"/>
    <w:rsid w:val="26D85E33"/>
    <w:rsid w:val="26DB2072"/>
    <w:rsid w:val="270A0CB9"/>
    <w:rsid w:val="270B4A30"/>
    <w:rsid w:val="270F1235"/>
    <w:rsid w:val="27154206"/>
    <w:rsid w:val="271D238B"/>
    <w:rsid w:val="272A62FD"/>
    <w:rsid w:val="273460AC"/>
    <w:rsid w:val="2737495D"/>
    <w:rsid w:val="273E42CE"/>
    <w:rsid w:val="274E64D1"/>
    <w:rsid w:val="2784424C"/>
    <w:rsid w:val="27862FAB"/>
    <w:rsid w:val="278F67DD"/>
    <w:rsid w:val="27B3345D"/>
    <w:rsid w:val="27B778B7"/>
    <w:rsid w:val="27CE4805"/>
    <w:rsid w:val="27D32862"/>
    <w:rsid w:val="27DC01C9"/>
    <w:rsid w:val="27E24B4A"/>
    <w:rsid w:val="27E53287"/>
    <w:rsid w:val="27E8590F"/>
    <w:rsid w:val="27EA6D62"/>
    <w:rsid w:val="28151DED"/>
    <w:rsid w:val="28300784"/>
    <w:rsid w:val="28316877"/>
    <w:rsid w:val="283A1513"/>
    <w:rsid w:val="283D77DD"/>
    <w:rsid w:val="283F2A39"/>
    <w:rsid w:val="286260C3"/>
    <w:rsid w:val="28630E79"/>
    <w:rsid w:val="286C4BBC"/>
    <w:rsid w:val="289E6725"/>
    <w:rsid w:val="28A2337A"/>
    <w:rsid w:val="28A83323"/>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A2143"/>
    <w:rsid w:val="29864976"/>
    <w:rsid w:val="298714C5"/>
    <w:rsid w:val="298A3588"/>
    <w:rsid w:val="299E7A8C"/>
    <w:rsid w:val="29C52E87"/>
    <w:rsid w:val="29C80548"/>
    <w:rsid w:val="29CE7264"/>
    <w:rsid w:val="29D9317B"/>
    <w:rsid w:val="29EC161D"/>
    <w:rsid w:val="29F04EAF"/>
    <w:rsid w:val="29F116D0"/>
    <w:rsid w:val="2A0241CA"/>
    <w:rsid w:val="2A0777DB"/>
    <w:rsid w:val="2A1074D9"/>
    <w:rsid w:val="2A136762"/>
    <w:rsid w:val="2A154338"/>
    <w:rsid w:val="2A1E7E82"/>
    <w:rsid w:val="2A606A11"/>
    <w:rsid w:val="2A7D5C08"/>
    <w:rsid w:val="2A832C81"/>
    <w:rsid w:val="2A846AB0"/>
    <w:rsid w:val="2A90033E"/>
    <w:rsid w:val="2AA47786"/>
    <w:rsid w:val="2AAA19F3"/>
    <w:rsid w:val="2AAD65EE"/>
    <w:rsid w:val="2AB23403"/>
    <w:rsid w:val="2AC27269"/>
    <w:rsid w:val="2AC77380"/>
    <w:rsid w:val="2ACE617E"/>
    <w:rsid w:val="2ADB4579"/>
    <w:rsid w:val="2ADD6AFD"/>
    <w:rsid w:val="2ADE6550"/>
    <w:rsid w:val="2AEA0CBC"/>
    <w:rsid w:val="2AFE0D9C"/>
    <w:rsid w:val="2B2C1FD1"/>
    <w:rsid w:val="2B2E0309"/>
    <w:rsid w:val="2B422946"/>
    <w:rsid w:val="2B5B34DC"/>
    <w:rsid w:val="2B5C1DAF"/>
    <w:rsid w:val="2B6D12EE"/>
    <w:rsid w:val="2B76579E"/>
    <w:rsid w:val="2B831E93"/>
    <w:rsid w:val="2B885C3B"/>
    <w:rsid w:val="2B8E2291"/>
    <w:rsid w:val="2B964DED"/>
    <w:rsid w:val="2B9B3546"/>
    <w:rsid w:val="2B9C6B65"/>
    <w:rsid w:val="2BA57D96"/>
    <w:rsid w:val="2BAE29A1"/>
    <w:rsid w:val="2BBE438D"/>
    <w:rsid w:val="2BD315B0"/>
    <w:rsid w:val="2BD66C4E"/>
    <w:rsid w:val="2BD81424"/>
    <w:rsid w:val="2BE373EE"/>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D12AE5"/>
    <w:rsid w:val="2CF02C63"/>
    <w:rsid w:val="2D1352C4"/>
    <w:rsid w:val="2D1D56C0"/>
    <w:rsid w:val="2D310CA2"/>
    <w:rsid w:val="2D3A323B"/>
    <w:rsid w:val="2D444485"/>
    <w:rsid w:val="2D4B55E5"/>
    <w:rsid w:val="2D4C0E6E"/>
    <w:rsid w:val="2D4C6148"/>
    <w:rsid w:val="2D53589F"/>
    <w:rsid w:val="2D5B1217"/>
    <w:rsid w:val="2D636D67"/>
    <w:rsid w:val="2D7646A7"/>
    <w:rsid w:val="2D7B05FB"/>
    <w:rsid w:val="2D8A4A41"/>
    <w:rsid w:val="2D8A62C6"/>
    <w:rsid w:val="2D926963"/>
    <w:rsid w:val="2DA21C7A"/>
    <w:rsid w:val="2DB30550"/>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B575E"/>
    <w:rsid w:val="2EAD6888"/>
    <w:rsid w:val="2EB413EF"/>
    <w:rsid w:val="2EB50951"/>
    <w:rsid w:val="2EB673FD"/>
    <w:rsid w:val="2EB809B1"/>
    <w:rsid w:val="2EB81831"/>
    <w:rsid w:val="2EBC7A6F"/>
    <w:rsid w:val="2EC941FC"/>
    <w:rsid w:val="2ECF7A85"/>
    <w:rsid w:val="2EE054B3"/>
    <w:rsid w:val="2EEB0155"/>
    <w:rsid w:val="2EFA0186"/>
    <w:rsid w:val="2EFA6107"/>
    <w:rsid w:val="2F0236C3"/>
    <w:rsid w:val="2F082BB8"/>
    <w:rsid w:val="2F0F048D"/>
    <w:rsid w:val="2F0F7632"/>
    <w:rsid w:val="2F2B5ABF"/>
    <w:rsid w:val="2F2E604D"/>
    <w:rsid w:val="2F332368"/>
    <w:rsid w:val="2F417886"/>
    <w:rsid w:val="2F4D26D8"/>
    <w:rsid w:val="2F5D2DA3"/>
    <w:rsid w:val="2F7473F9"/>
    <w:rsid w:val="2F7659EF"/>
    <w:rsid w:val="2F882E85"/>
    <w:rsid w:val="2F8A1363"/>
    <w:rsid w:val="2F8E5AA8"/>
    <w:rsid w:val="2F9A7F4A"/>
    <w:rsid w:val="2FB90071"/>
    <w:rsid w:val="2FC733B8"/>
    <w:rsid w:val="2FCA4F20"/>
    <w:rsid w:val="2FF433FB"/>
    <w:rsid w:val="300C4C70"/>
    <w:rsid w:val="303371BB"/>
    <w:rsid w:val="303A1CAD"/>
    <w:rsid w:val="3044399D"/>
    <w:rsid w:val="30487E8C"/>
    <w:rsid w:val="305868C6"/>
    <w:rsid w:val="305B1097"/>
    <w:rsid w:val="306275EE"/>
    <w:rsid w:val="306445C1"/>
    <w:rsid w:val="30672A4F"/>
    <w:rsid w:val="30674B15"/>
    <w:rsid w:val="306F3DBA"/>
    <w:rsid w:val="30722C1A"/>
    <w:rsid w:val="30726EEB"/>
    <w:rsid w:val="308640A9"/>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442CD4"/>
    <w:rsid w:val="31445B9B"/>
    <w:rsid w:val="314D2A6F"/>
    <w:rsid w:val="314F5F72"/>
    <w:rsid w:val="316B13D5"/>
    <w:rsid w:val="31720F1D"/>
    <w:rsid w:val="31745B98"/>
    <w:rsid w:val="317A7F18"/>
    <w:rsid w:val="317D6929"/>
    <w:rsid w:val="317E525C"/>
    <w:rsid w:val="319951C3"/>
    <w:rsid w:val="31B3107E"/>
    <w:rsid w:val="31B347D1"/>
    <w:rsid w:val="31BF03E5"/>
    <w:rsid w:val="31E65427"/>
    <w:rsid w:val="31EF7D40"/>
    <w:rsid w:val="31F33BFC"/>
    <w:rsid w:val="31F43BF9"/>
    <w:rsid w:val="31F96A5C"/>
    <w:rsid w:val="31FA0E29"/>
    <w:rsid w:val="31FE3F69"/>
    <w:rsid w:val="32006ED8"/>
    <w:rsid w:val="320733C3"/>
    <w:rsid w:val="321C18F4"/>
    <w:rsid w:val="321C2B52"/>
    <w:rsid w:val="321F61EC"/>
    <w:rsid w:val="32231F22"/>
    <w:rsid w:val="322E2854"/>
    <w:rsid w:val="323036BA"/>
    <w:rsid w:val="32455CE0"/>
    <w:rsid w:val="324F04DB"/>
    <w:rsid w:val="32503DFA"/>
    <w:rsid w:val="3255415E"/>
    <w:rsid w:val="32596DEE"/>
    <w:rsid w:val="32692300"/>
    <w:rsid w:val="32702FC0"/>
    <w:rsid w:val="327144B7"/>
    <w:rsid w:val="327C6A8D"/>
    <w:rsid w:val="32950684"/>
    <w:rsid w:val="32CA65F9"/>
    <w:rsid w:val="32D942C8"/>
    <w:rsid w:val="33054854"/>
    <w:rsid w:val="33064DC6"/>
    <w:rsid w:val="330A16FB"/>
    <w:rsid w:val="33116B69"/>
    <w:rsid w:val="33141FF7"/>
    <w:rsid w:val="331610E4"/>
    <w:rsid w:val="331B0364"/>
    <w:rsid w:val="33200A45"/>
    <w:rsid w:val="33210A1F"/>
    <w:rsid w:val="333E0092"/>
    <w:rsid w:val="33482976"/>
    <w:rsid w:val="33506C9F"/>
    <w:rsid w:val="33604260"/>
    <w:rsid w:val="33775E05"/>
    <w:rsid w:val="337F2716"/>
    <w:rsid w:val="338574F9"/>
    <w:rsid w:val="33A078AB"/>
    <w:rsid w:val="33A222F8"/>
    <w:rsid w:val="33A5187D"/>
    <w:rsid w:val="33B85C62"/>
    <w:rsid w:val="33B90357"/>
    <w:rsid w:val="33C3614F"/>
    <w:rsid w:val="33D62B96"/>
    <w:rsid w:val="33D90B5F"/>
    <w:rsid w:val="33E32DB1"/>
    <w:rsid w:val="33FE5C2D"/>
    <w:rsid w:val="33FF7460"/>
    <w:rsid w:val="341B058D"/>
    <w:rsid w:val="344127C5"/>
    <w:rsid w:val="34526E6E"/>
    <w:rsid w:val="345B1895"/>
    <w:rsid w:val="3463085A"/>
    <w:rsid w:val="34653B2A"/>
    <w:rsid w:val="34745294"/>
    <w:rsid w:val="34746874"/>
    <w:rsid w:val="3485590E"/>
    <w:rsid w:val="34946C2E"/>
    <w:rsid w:val="34A24AD6"/>
    <w:rsid w:val="34AE3A84"/>
    <w:rsid w:val="34C04708"/>
    <w:rsid w:val="34C967AE"/>
    <w:rsid w:val="34D40B6A"/>
    <w:rsid w:val="34D46D17"/>
    <w:rsid w:val="34FB2B80"/>
    <w:rsid w:val="34FD5844"/>
    <w:rsid w:val="352201AD"/>
    <w:rsid w:val="35280DED"/>
    <w:rsid w:val="35463167"/>
    <w:rsid w:val="355B69FC"/>
    <w:rsid w:val="35665ADB"/>
    <w:rsid w:val="3572001E"/>
    <w:rsid w:val="357E63AE"/>
    <w:rsid w:val="35816EB9"/>
    <w:rsid w:val="35821E3D"/>
    <w:rsid w:val="35932D29"/>
    <w:rsid w:val="359F5261"/>
    <w:rsid w:val="35AD209F"/>
    <w:rsid w:val="35AD4D18"/>
    <w:rsid w:val="35B35F81"/>
    <w:rsid w:val="35BE39BF"/>
    <w:rsid w:val="35C2434B"/>
    <w:rsid w:val="35CC3248"/>
    <w:rsid w:val="35DF5798"/>
    <w:rsid w:val="35F421D8"/>
    <w:rsid w:val="35F81CC4"/>
    <w:rsid w:val="35FA7E78"/>
    <w:rsid w:val="35FE7215"/>
    <w:rsid w:val="35FF2DF2"/>
    <w:rsid w:val="36000F59"/>
    <w:rsid w:val="3600703E"/>
    <w:rsid w:val="360A456E"/>
    <w:rsid w:val="360B232F"/>
    <w:rsid w:val="361D59BA"/>
    <w:rsid w:val="36243BAF"/>
    <w:rsid w:val="36247CCA"/>
    <w:rsid w:val="36280FB0"/>
    <w:rsid w:val="36400759"/>
    <w:rsid w:val="364225B8"/>
    <w:rsid w:val="364B4F18"/>
    <w:rsid w:val="364C3867"/>
    <w:rsid w:val="36544E83"/>
    <w:rsid w:val="36601F32"/>
    <w:rsid w:val="367B06EC"/>
    <w:rsid w:val="368400A0"/>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D63E4"/>
    <w:rsid w:val="38241CFE"/>
    <w:rsid w:val="38244FE4"/>
    <w:rsid w:val="382E3A30"/>
    <w:rsid w:val="383C048E"/>
    <w:rsid w:val="38454C9B"/>
    <w:rsid w:val="38484E6F"/>
    <w:rsid w:val="385A5B31"/>
    <w:rsid w:val="388116C0"/>
    <w:rsid w:val="388C714F"/>
    <w:rsid w:val="38946C1E"/>
    <w:rsid w:val="38966DB9"/>
    <w:rsid w:val="38A35DF1"/>
    <w:rsid w:val="38B20894"/>
    <w:rsid w:val="38C2768F"/>
    <w:rsid w:val="38CD59A4"/>
    <w:rsid w:val="38D26167"/>
    <w:rsid w:val="38D7209B"/>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7508A"/>
    <w:rsid w:val="396512CD"/>
    <w:rsid w:val="39825EF1"/>
    <w:rsid w:val="398636A1"/>
    <w:rsid w:val="39897949"/>
    <w:rsid w:val="399D7118"/>
    <w:rsid w:val="39BC5220"/>
    <w:rsid w:val="39BE4A47"/>
    <w:rsid w:val="39D879D3"/>
    <w:rsid w:val="39E245E4"/>
    <w:rsid w:val="39FC179E"/>
    <w:rsid w:val="3A014E17"/>
    <w:rsid w:val="3A066018"/>
    <w:rsid w:val="3A0A15FB"/>
    <w:rsid w:val="3A172B9E"/>
    <w:rsid w:val="3A27547C"/>
    <w:rsid w:val="3A3871E3"/>
    <w:rsid w:val="3A3A7BDB"/>
    <w:rsid w:val="3A3C3C45"/>
    <w:rsid w:val="3A663EB0"/>
    <w:rsid w:val="3A87071A"/>
    <w:rsid w:val="3A9B7C92"/>
    <w:rsid w:val="3AA845F2"/>
    <w:rsid w:val="3AAC76F2"/>
    <w:rsid w:val="3AAD5CAC"/>
    <w:rsid w:val="3AAF045C"/>
    <w:rsid w:val="3AD8079E"/>
    <w:rsid w:val="3AD80861"/>
    <w:rsid w:val="3AF05E33"/>
    <w:rsid w:val="3AF1344F"/>
    <w:rsid w:val="3B1C5B19"/>
    <w:rsid w:val="3B2301BB"/>
    <w:rsid w:val="3B294F65"/>
    <w:rsid w:val="3B362C4D"/>
    <w:rsid w:val="3B45316C"/>
    <w:rsid w:val="3B557D87"/>
    <w:rsid w:val="3B8631C4"/>
    <w:rsid w:val="3B937719"/>
    <w:rsid w:val="3B942B73"/>
    <w:rsid w:val="3B9674D7"/>
    <w:rsid w:val="3BA20424"/>
    <w:rsid w:val="3BAE3B93"/>
    <w:rsid w:val="3BB335AC"/>
    <w:rsid w:val="3BC165FE"/>
    <w:rsid w:val="3BD3067E"/>
    <w:rsid w:val="3BD53AB5"/>
    <w:rsid w:val="3BED2875"/>
    <w:rsid w:val="3BEF40B2"/>
    <w:rsid w:val="3BFF61D4"/>
    <w:rsid w:val="3C0104C3"/>
    <w:rsid w:val="3C054F49"/>
    <w:rsid w:val="3C1708D8"/>
    <w:rsid w:val="3C262C87"/>
    <w:rsid w:val="3C26613B"/>
    <w:rsid w:val="3C3C39A0"/>
    <w:rsid w:val="3C3E72F6"/>
    <w:rsid w:val="3C5A7EF6"/>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7310"/>
    <w:rsid w:val="3D0154CA"/>
    <w:rsid w:val="3D117E02"/>
    <w:rsid w:val="3D277613"/>
    <w:rsid w:val="3D2F2FAD"/>
    <w:rsid w:val="3D3C5369"/>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27F30"/>
    <w:rsid w:val="3E330ACA"/>
    <w:rsid w:val="3E352253"/>
    <w:rsid w:val="3E4754A6"/>
    <w:rsid w:val="3E6926D3"/>
    <w:rsid w:val="3E786B14"/>
    <w:rsid w:val="3E860F10"/>
    <w:rsid w:val="3E913ADC"/>
    <w:rsid w:val="3E922B85"/>
    <w:rsid w:val="3E922D59"/>
    <w:rsid w:val="3E9A15EB"/>
    <w:rsid w:val="3EA3700C"/>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B1447F"/>
    <w:rsid w:val="3FC35AFC"/>
    <w:rsid w:val="3FC41983"/>
    <w:rsid w:val="3FD1414D"/>
    <w:rsid w:val="3FD81218"/>
    <w:rsid w:val="3FE86F49"/>
    <w:rsid w:val="3FF35E75"/>
    <w:rsid w:val="400479C3"/>
    <w:rsid w:val="40240F49"/>
    <w:rsid w:val="40404B79"/>
    <w:rsid w:val="404358BE"/>
    <w:rsid w:val="40440ADB"/>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713CA"/>
    <w:rsid w:val="411A6663"/>
    <w:rsid w:val="412D5086"/>
    <w:rsid w:val="413010DA"/>
    <w:rsid w:val="416E59E3"/>
    <w:rsid w:val="417B7C4C"/>
    <w:rsid w:val="417C0DD3"/>
    <w:rsid w:val="417C4EC1"/>
    <w:rsid w:val="41A664B7"/>
    <w:rsid w:val="41B06AAF"/>
    <w:rsid w:val="41B601E7"/>
    <w:rsid w:val="41CF3C25"/>
    <w:rsid w:val="41D57DE1"/>
    <w:rsid w:val="41D82E36"/>
    <w:rsid w:val="41DF5CBF"/>
    <w:rsid w:val="41EB174A"/>
    <w:rsid w:val="41EE3F21"/>
    <w:rsid w:val="41F025CB"/>
    <w:rsid w:val="42015830"/>
    <w:rsid w:val="42204C7E"/>
    <w:rsid w:val="42226713"/>
    <w:rsid w:val="422B2BA1"/>
    <w:rsid w:val="4231785A"/>
    <w:rsid w:val="4235332E"/>
    <w:rsid w:val="42513ADD"/>
    <w:rsid w:val="42584818"/>
    <w:rsid w:val="42606C69"/>
    <w:rsid w:val="427E48C1"/>
    <w:rsid w:val="428D7881"/>
    <w:rsid w:val="42926048"/>
    <w:rsid w:val="429B6E22"/>
    <w:rsid w:val="429C6B61"/>
    <w:rsid w:val="42BA33B4"/>
    <w:rsid w:val="42BF4C55"/>
    <w:rsid w:val="42C845D8"/>
    <w:rsid w:val="42F70947"/>
    <w:rsid w:val="42F91034"/>
    <w:rsid w:val="43262E27"/>
    <w:rsid w:val="433A1710"/>
    <w:rsid w:val="434841F7"/>
    <w:rsid w:val="434D6B99"/>
    <w:rsid w:val="43514383"/>
    <w:rsid w:val="43524A05"/>
    <w:rsid w:val="43655B98"/>
    <w:rsid w:val="43715C61"/>
    <w:rsid w:val="437D1A33"/>
    <w:rsid w:val="437F792B"/>
    <w:rsid w:val="43871CB4"/>
    <w:rsid w:val="43941A01"/>
    <w:rsid w:val="439828B7"/>
    <w:rsid w:val="43BE214E"/>
    <w:rsid w:val="43D40410"/>
    <w:rsid w:val="43ED298C"/>
    <w:rsid w:val="43EF2991"/>
    <w:rsid w:val="43F4696E"/>
    <w:rsid w:val="440021F6"/>
    <w:rsid w:val="442D4378"/>
    <w:rsid w:val="443127CF"/>
    <w:rsid w:val="44576235"/>
    <w:rsid w:val="44597BEE"/>
    <w:rsid w:val="44741317"/>
    <w:rsid w:val="44775260"/>
    <w:rsid w:val="447A4753"/>
    <w:rsid w:val="447A77AA"/>
    <w:rsid w:val="448231D7"/>
    <w:rsid w:val="448F7502"/>
    <w:rsid w:val="44A70E24"/>
    <w:rsid w:val="44DA3A0F"/>
    <w:rsid w:val="44DD300E"/>
    <w:rsid w:val="44E2656D"/>
    <w:rsid w:val="44F11452"/>
    <w:rsid w:val="4504003A"/>
    <w:rsid w:val="45177BA4"/>
    <w:rsid w:val="451C551F"/>
    <w:rsid w:val="451F3CCA"/>
    <w:rsid w:val="45341196"/>
    <w:rsid w:val="45367AAC"/>
    <w:rsid w:val="45493A4F"/>
    <w:rsid w:val="454E4188"/>
    <w:rsid w:val="45727755"/>
    <w:rsid w:val="45965757"/>
    <w:rsid w:val="45AB6014"/>
    <w:rsid w:val="45AD59A1"/>
    <w:rsid w:val="45AF1062"/>
    <w:rsid w:val="45BA5028"/>
    <w:rsid w:val="45C42822"/>
    <w:rsid w:val="45CA6C10"/>
    <w:rsid w:val="45D01294"/>
    <w:rsid w:val="45DA4126"/>
    <w:rsid w:val="45E03532"/>
    <w:rsid w:val="45FB48CF"/>
    <w:rsid w:val="45FC3625"/>
    <w:rsid w:val="460F3903"/>
    <w:rsid w:val="461853CA"/>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715F93"/>
    <w:rsid w:val="478D4609"/>
    <w:rsid w:val="478D6A12"/>
    <w:rsid w:val="479149F3"/>
    <w:rsid w:val="47962309"/>
    <w:rsid w:val="47A05B27"/>
    <w:rsid w:val="47A151B7"/>
    <w:rsid w:val="47A170F2"/>
    <w:rsid w:val="47A32AF0"/>
    <w:rsid w:val="47AF032C"/>
    <w:rsid w:val="47B963C1"/>
    <w:rsid w:val="47BA0CEF"/>
    <w:rsid w:val="47D22BE9"/>
    <w:rsid w:val="47EA4D37"/>
    <w:rsid w:val="47EC146A"/>
    <w:rsid w:val="480C3662"/>
    <w:rsid w:val="481D74A2"/>
    <w:rsid w:val="483078B1"/>
    <w:rsid w:val="48334280"/>
    <w:rsid w:val="48386782"/>
    <w:rsid w:val="48406A1E"/>
    <w:rsid w:val="48443609"/>
    <w:rsid w:val="48455013"/>
    <w:rsid w:val="484B7369"/>
    <w:rsid w:val="485E09ED"/>
    <w:rsid w:val="487274B4"/>
    <w:rsid w:val="487F714C"/>
    <w:rsid w:val="48811612"/>
    <w:rsid w:val="488818E0"/>
    <w:rsid w:val="48B54923"/>
    <w:rsid w:val="48B84FB8"/>
    <w:rsid w:val="48E06989"/>
    <w:rsid w:val="48E92C88"/>
    <w:rsid w:val="48EB1D85"/>
    <w:rsid w:val="48F972E8"/>
    <w:rsid w:val="49020F8E"/>
    <w:rsid w:val="490C731D"/>
    <w:rsid w:val="49124D56"/>
    <w:rsid w:val="49326481"/>
    <w:rsid w:val="49406CB6"/>
    <w:rsid w:val="494C141C"/>
    <w:rsid w:val="4954359E"/>
    <w:rsid w:val="495C0CFA"/>
    <w:rsid w:val="49821D8D"/>
    <w:rsid w:val="4987544D"/>
    <w:rsid w:val="498B2C40"/>
    <w:rsid w:val="49A05099"/>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632C56"/>
    <w:rsid w:val="4A863FBD"/>
    <w:rsid w:val="4A892CB4"/>
    <w:rsid w:val="4AA927DF"/>
    <w:rsid w:val="4AB450E7"/>
    <w:rsid w:val="4ABA10FB"/>
    <w:rsid w:val="4ABD2CBE"/>
    <w:rsid w:val="4ACA49FA"/>
    <w:rsid w:val="4ACC15C6"/>
    <w:rsid w:val="4ACC17F6"/>
    <w:rsid w:val="4AD00606"/>
    <w:rsid w:val="4ADD5255"/>
    <w:rsid w:val="4AE8469B"/>
    <w:rsid w:val="4AED30D2"/>
    <w:rsid w:val="4AF05435"/>
    <w:rsid w:val="4AFA15BB"/>
    <w:rsid w:val="4AFE1C1B"/>
    <w:rsid w:val="4B213A1D"/>
    <w:rsid w:val="4B2A63DE"/>
    <w:rsid w:val="4B381C19"/>
    <w:rsid w:val="4B3E0F06"/>
    <w:rsid w:val="4B4E7BFB"/>
    <w:rsid w:val="4B503DE9"/>
    <w:rsid w:val="4B592E57"/>
    <w:rsid w:val="4B731311"/>
    <w:rsid w:val="4B9228EB"/>
    <w:rsid w:val="4B991EDB"/>
    <w:rsid w:val="4B9A2375"/>
    <w:rsid w:val="4BA17322"/>
    <w:rsid w:val="4BAD17E4"/>
    <w:rsid w:val="4BBD2F45"/>
    <w:rsid w:val="4BD47F62"/>
    <w:rsid w:val="4C0D0455"/>
    <w:rsid w:val="4C1F7A5B"/>
    <w:rsid w:val="4C304942"/>
    <w:rsid w:val="4C4048FC"/>
    <w:rsid w:val="4C4D35EC"/>
    <w:rsid w:val="4C4F073F"/>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86DA4"/>
    <w:rsid w:val="4D020DA5"/>
    <w:rsid w:val="4D0D52CB"/>
    <w:rsid w:val="4D120DE5"/>
    <w:rsid w:val="4D2C1A77"/>
    <w:rsid w:val="4D416F8E"/>
    <w:rsid w:val="4D5142D4"/>
    <w:rsid w:val="4D566C49"/>
    <w:rsid w:val="4D6037A5"/>
    <w:rsid w:val="4D693694"/>
    <w:rsid w:val="4D743AA4"/>
    <w:rsid w:val="4D834946"/>
    <w:rsid w:val="4D993267"/>
    <w:rsid w:val="4DA1355F"/>
    <w:rsid w:val="4DA537BB"/>
    <w:rsid w:val="4DA53A8B"/>
    <w:rsid w:val="4DA62BFC"/>
    <w:rsid w:val="4DAE4BCF"/>
    <w:rsid w:val="4DBB336E"/>
    <w:rsid w:val="4DBE6815"/>
    <w:rsid w:val="4DC2611F"/>
    <w:rsid w:val="4DE72DDF"/>
    <w:rsid w:val="4DED7567"/>
    <w:rsid w:val="4DF67531"/>
    <w:rsid w:val="4DF9062B"/>
    <w:rsid w:val="4E014EF8"/>
    <w:rsid w:val="4E052000"/>
    <w:rsid w:val="4E066E93"/>
    <w:rsid w:val="4E075658"/>
    <w:rsid w:val="4E194BEF"/>
    <w:rsid w:val="4E1D7E77"/>
    <w:rsid w:val="4E236A05"/>
    <w:rsid w:val="4E264B45"/>
    <w:rsid w:val="4E51451A"/>
    <w:rsid w:val="4E7D60BC"/>
    <w:rsid w:val="4E9B5BF1"/>
    <w:rsid w:val="4EA33B0C"/>
    <w:rsid w:val="4EDE397C"/>
    <w:rsid w:val="4EEF3623"/>
    <w:rsid w:val="4EF614BA"/>
    <w:rsid w:val="4EF62402"/>
    <w:rsid w:val="4F087D26"/>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50437224"/>
    <w:rsid w:val="504648BC"/>
    <w:rsid w:val="50490678"/>
    <w:rsid w:val="505162F9"/>
    <w:rsid w:val="505A512C"/>
    <w:rsid w:val="5077550F"/>
    <w:rsid w:val="5089260D"/>
    <w:rsid w:val="50895295"/>
    <w:rsid w:val="5098572F"/>
    <w:rsid w:val="50AD025B"/>
    <w:rsid w:val="50B906DF"/>
    <w:rsid w:val="50C80F42"/>
    <w:rsid w:val="50F018D3"/>
    <w:rsid w:val="50F419E6"/>
    <w:rsid w:val="50F47A17"/>
    <w:rsid w:val="51062782"/>
    <w:rsid w:val="51336612"/>
    <w:rsid w:val="513D38A6"/>
    <w:rsid w:val="51456AF4"/>
    <w:rsid w:val="515C1DCC"/>
    <w:rsid w:val="51657C34"/>
    <w:rsid w:val="51790E28"/>
    <w:rsid w:val="517C7028"/>
    <w:rsid w:val="518B673C"/>
    <w:rsid w:val="51906BFC"/>
    <w:rsid w:val="519634A4"/>
    <w:rsid w:val="519B6609"/>
    <w:rsid w:val="51B1532D"/>
    <w:rsid w:val="51B858B2"/>
    <w:rsid w:val="51BE6CEC"/>
    <w:rsid w:val="51C26588"/>
    <w:rsid w:val="51D82383"/>
    <w:rsid w:val="51DE4114"/>
    <w:rsid w:val="51E110B3"/>
    <w:rsid w:val="51E31D3C"/>
    <w:rsid w:val="51E531F8"/>
    <w:rsid w:val="51F45C0D"/>
    <w:rsid w:val="51F45EC8"/>
    <w:rsid w:val="51FE2E2D"/>
    <w:rsid w:val="520A15B6"/>
    <w:rsid w:val="520F2ED4"/>
    <w:rsid w:val="521402BD"/>
    <w:rsid w:val="52152C19"/>
    <w:rsid w:val="522B39FB"/>
    <w:rsid w:val="52350DAA"/>
    <w:rsid w:val="52391E5F"/>
    <w:rsid w:val="52414E5C"/>
    <w:rsid w:val="524461BA"/>
    <w:rsid w:val="52463FBA"/>
    <w:rsid w:val="524A5D65"/>
    <w:rsid w:val="524C1BBF"/>
    <w:rsid w:val="526D0084"/>
    <w:rsid w:val="5290531B"/>
    <w:rsid w:val="529526FC"/>
    <w:rsid w:val="52A17AC6"/>
    <w:rsid w:val="52C04D72"/>
    <w:rsid w:val="52C51658"/>
    <w:rsid w:val="52CA35B0"/>
    <w:rsid w:val="52D27A41"/>
    <w:rsid w:val="52D62E46"/>
    <w:rsid w:val="52DD15C5"/>
    <w:rsid w:val="52E22B38"/>
    <w:rsid w:val="52F63B4F"/>
    <w:rsid w:val="53020EC2"/>
    <w:rsid w:val="53082F2C"/>
    <w:rsid w:val="53131C59"/>
    <w:rsid w:val="53286C71"/>
    <w:rsid w:val="53345BA9"/>
    <w:rsid w:val="53396085"/>
    <w:rsid w:val="535154E0"/>
    <w:rsid w:val="53670639"/>
    <w:rsid w:val="53771618"/>
    <w:rsid w:val="537C1740"/>
    <w:rsid w:val="53B84C8E"/>
    <w:rsid w:val="53BC5C65"/>
    <w:rsid w:val="53C76A1E"/>
    <w:rsid w:val="53E65701"/>
    <w:rsid w:val="53EE36FA"/>
    <w:rsid w:val="53F52A77"/>
    <w:rsid w:val="53FD5774"/>
    <w:rsid w:val="5414272D"/>
    <w:rsid w:val="5426037B"/>
    <w:rsid w:val="542E6AAF"/>
    <w:rsid w:val="543D68D9"/>
    <w:rsid w:val="54417415"/>
    <w:rsid w:val="546F7A15"/>
    <w:rsid w:val="54871B54"/>
    <w:rsid w:val="549518D3"/>
    <w:rsid w:val="549F3EDE"/>
    <w:rsid w:val="54AA3CD9"/>
    <w:rsid w:val="54B76615"/>
    <w:rsid w:val="54C069FB"/>
    <w:rsid w:val="54C96C83"/>
    <w:rsid w:val="54D31B63"/>
    <w:rsid w:val="54DC5A62"/>
    <w:rsid w:val="54EA3219"/>
    <w:rsid w:val="550118A5"/>
    <w:rsid w:val="55051D97"/>
    <w:rsid w:val="552E3723"/>
    <w:rsid w:val="553C6F74"/>
    <w:rsid w:val="554860F4"/>
    <w:rsid w:val="55582F0D"/>
    <w:rsid w:val="557A16A0"/>
    <w:rsid w:val="558C51E2"/>
    <w:rsid w:val="559A22C4"/>
    <w:rsid w:val="559C2F3F"/>
    <w:rsid w:val="559F228F"/>
    <w:rsid w:val="55A67EE8"/>
    <w:rsid w:val="55B54251"/>
    <w:rsid w:val="55C16AC0"/>
    <w:rsid w:val="55D00DC0"/>
    <w:rsid w:val="55D12C28"/>
    <w:rsid w:val="55E8090D"/>
    <w:rsid w:val="55F4696B"/>
    <w:rsid w:val="55FA6695"/>
    <w:rsid w:val="55FD24CA"/>
    <w:rsid w:val="56060266"/>
    <w:rsid w:val="562A1609"/>
    <w:rsid w:val="563F74A4"/>
    <w:rsid w:val="56474FF1"/>
    <w:rsid w:val="564E0D5A"/>
    <w:rsid w:val="566B53D2"/>
    <w:rsid w:val="56715C12"/>
    <w:rsid w:val="567B1141"/>
    <w:rsid w:val="5681373E"/>
    <w:rsid w:val="56957288"/>
    <w:rsid w:val="56991451"/>
    <w:rsid w:val="569A3398"/>
    <w:rsid w:val="56A7418C"/>
    <w:rsid w:val="56AD7471"/>
    <w:rsid w:val="56B67257"/>
    <w:rsid w:val="56BC5307"/>
    <w:rsid w:val="56BD78CA"/>
    <w:rsid w:val="56BF5531"/>
    <w:rsid w:val="56D03A56"/>
    <w:rsid w:val="56D255DB"/>
    <w:rsid w:val="56EB3361"/>
    <w:rsid w:val="56F0102A"/>
    <w:rsid w:val="56F40954"/>
    <w:rsid w:val="56F72F30"/>
    <w:rsid w:val="570251EE"/>
    <w:rsid w:val="570D256E"/>
    <w:rsid w:val="57301450"/>
    <w:rsid w:val="573349E8"/>
    <w:rsid w:val="57350D69"/>
    <w:rsid w:val="5744368A"/>
    <w:rsid w:val="574820C5"/>
    <w:rsid w:val="574D339C"/>
    <w:rsid w:val="5753468B"/>
    <w:rsid w:val="575B3101"/>
    <w:rsid w:val="5760479D"/>
    <w:rsid w:val="576D43D6"/>
    <w:rsid w:val="5779650A"/>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B7"/>
    <w:rsid w:val="585F7B51"/>
    <w:rsid w:val="58603614"/>
    <w:rsid w:val="58615E6E"/>
    <w:rsid w:val="58635793"/>
    <w:rsid w:val="586A36EE"/>
    <w:rsid w:val="588C11D6"/>
    <w:rsid w:val="58BD0992"/>
    <w:rsid w:val="58BF796A"/>
    <w:rsid w:val="58C16B43"/>
    <w:rsid w:val="58C70034"/>
    <w:rsid w:val="58EF47AD"/>
    <w:rsid w:val="59033141"/>
    <w:rsid w:val="590C08D4"/>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A0DF6"/>
    <w:rsid w:val="59CD2536"/>
    <w:rsid w:val="59D05539"/>
    <w:rsid w:val="59D2025E"/>
    <w:rsid w:val="59E12D2E"/>
    <w:rsid w:val="59E140AF"/>
    <w:rsid w:val="59E56E97"/>
    <w:rsid w:val="59EE0B0E"/>
    <w:rsid w:val="59EF52ED"/>
    <w:rsid w:val="59F378E0"/>
    <w:rsid w:val="5A03208B"/>
    <w:rsid w:val="5A1B27B8"/>
    <w:rsid w:val="5A41505E"/>
    <w:rsid w:val="5A5A06F5"/>
    <w:rsid w:val="5A60385B"/>
    <w:rsid w:val="5A653FA0"/>
    <w:rsid w:val="5A6843E3"/>
    <w:rsid w:val="5A773B8A"/>
    <w:rsid w:val="5A7D2646"/>
    <w:rsid w:val="5A7E5ED8"/>
    <w:rsid w:val="5A91589A"/>
    <w:rsid w:val="5A950DCB"/>
    <w:rsid w:val="5A9F6E2F"/>
    <w:rsid w:val="5AAF69CC"/>
    <w:rsid w:val="5AC608F3"/>
    <w:rsid w:val="5ACA2411"/>
    <w:rsid w:val="5AE31485"/>
    <w:rsid w:val="5AF626D8"/>
    <w:rsid w:val="5AF62900"/>
    <w:rsid w:val="5AFA762A"/>
    <w:rsid w:val="5AFC40F3"/>
    <w:rsid w:val="5B053218"/>
    <w:rsid w:val="5B0D46E9"/>
    <w:rsid w:val="5B106FAA"/>
    <w:rsid w:val="5B211F37"/>
    <w:rsid w:val="5B22062D"/>
    <w:rsid w:val="5B241C6D"/>
    <w:rsid w:val="5B277C2D"/>
    <w:rsid w:val="5B2A6DA0"/>
    <w:rsid w:val="5B2B355B"/>
    <w:rsid w:val="5B3E3090"/>
    <w:rsid w:val="5B413ED9"/>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5707D2"/>
    <w:rsid w:val="5C5C59BB"/>
    <w:rsid w:val="5C6A1E8C"/>
    <w:rsid w:val="5C6F3AA2"/>
    <w:rsid w:val="5C762A1F"/>
    <w:rsid w:val="5C7A3862"/>
    <w:rsid w:val="5C85298F"/>
    <w:rsid w:val="5C894D97"/>
    <w:rsid w:val="5C8A044A"/>
    <w:rsid w:val="5C9E7426"/>
    <w:rsid w:val="5C9F681E"/>
    <w:rsid w:val="5CB91E89"/>
    <w:rsid w:val="5CDC5778"/>
    <w:rsid w:val="5CDF0229"/>
    <w:rsid w:val="5CE40C2F"/>
    <w:rsid w:val="5CE70DB3"/>
    <w:rsid w:val="5CE92EB3"/>
    <w:rsid w:val="5CF20C05"/>
    <w:rsid w:val="5CF43050"/>
    <w:rsid w:val="5CF617C9"/>
    <w:rsid w:val="5D047EE8"/>
    <w:rsid w:val="5D110C61"/>
    <w:rsid w:val="5D1157A6"/>
    <w:rsid w:val="5D126228"/>
    <w:rsid w:val="5D1949C1"/>
    <w:rsid w:val="5D1B0F43"/>
    <w:rsid w:val="5D1F3C0E"/>
    <w:rsid w:val="5D204456"/>
    <w:rsid w:val="5D3734F1"/>
    <w:rsid w:val="5D3A42DC"/>
    <w:rsid w:val="5D423265"/>
    <w:rsid w:val="5D4C146E"/>
    <w:rsid w:val="5D7F6363"/>
    <w:rsid w:val="5D9A4008"/>
    <w:rsid w:val="5DA373AD"/>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37962"/>
    <w:rsid w:val="5E5667A6"/>
    <w:rsid w:val="5E676802"/>
    <w:rsid w:val="5E6C7C78"/>
    <w:rsid w:val="5E72699B"/>
    <w:rsid w:val="5E744CB7"/>
    <w:rsid w:val="5E815CED"/>
    <w:rsid w:val="5E887A26"/>
    <w:rsid w:val="5E944937"/>
    <w:rsid w:val="5EA01B55"/>
    <w:rsid w:val="5EA063CD"/>
    <w:rsid w:val="5EA1660E"/>
    <w:rsid w:val="5EA35CFD"/>
    <w:rsid w:val="5EAC0CC5"/>
    <w:rsid w:val="5EAF07E9"/>
    <w:rsid w:val="5EB75E1B"/>
    <w:rsid w:val="5EC56393"/>
    <w:rsid w:val="5ECF2323"/>
    <w:rsid w:val="5EDC21AD"/>
    <w:rsid w:val="5EF011FF"/>
    <w:rsid w:val="5EF078DD"/>
    <w:rsid w:val="5EF62DCD"/>
    <w:rsid w:val="5EF82FA9"/>
    <w:rsid w:val="5EFB0071"/>
    <w:rsid w:val="5EFE34A1"/>
    <w:rsid w:val="5F0E4F9F"/>
    <w:rsid w:val="5F173FD8"/>
    <w:rsid w:val="5F1C6EB0"/>
    <w:rsid w:val="5F3262F4"/>
    <w:rsid w:val="5F4E76E9"/>
    <w:rsid w:val="5F5C27E5"/>
    <w:rsid w:val="5F673FEF"/>
    <w:rsid w:val="5F6938A8"/>
    <w:rsid w:val="5F6D529B"/>
    <w:rsid w:val="5F6E2815"/>
    <w:rsid w:val="5F7579E5"/>
    <w:rsid w:val="5F79179D"/>
    <w:rsid w:val="5F7B40E0"/>
    <w:rsid w:val="5F7C06D8"/>
    <w:rsid w:val="5F8B32E7"/>
    <w:rsid w:val="5F9A5ADD"/>
    <w:rsid w:val="5F9E02EC"/>
    <w:rsid w:val="5FA1081C"/>
    <w:rsid w:val="5FD9462B"/>
    <w:rsid w:val="5FDF17E3"/>
    <w:rsid w:val="5FE061B9"/>
    <w:rsid w:val="5FEB5761"/>
    <w:rsid w:val="5FFB6305"/>
    <w:rsid w:val="60011320"/>
    <w:rsid w:val="60216D06"/>
    <w:rsid w:val="60267D5D"/>
    <w:rsid w:val="604100BA"/>
    <w:rsid w:val="6057025C"/>
    <w:rsid w:val="606F133D"/>
    <w:rsid w:val="60785DC5"/>
    <w:rsid w:val="607B07D5"/>
    <w:rsid w:val="60882865"/>
    <w:rsid w:val="60916901"/>
    <w:rsid w:val="60993336"/>
    <w:rsid w:val="609949E1"/>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BA5EFD"/>
    <w:rsid w:val="61C07581"/>
    <w:rsid w:val="61C7660C"/>
    <w:rsid w:val="61D81BE2"/>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E2BD8"/>
    <w:rsid w:val="62A20B07"/>
    <w:rsid w:val="62A414E0"/>
    <w:rsid w:val="62BA5904"/>
    <w:rsid w:val="62CC77CB"/>
    <w:rsid w:val="62E7631E"/>
    <w:rsid w:val="62F3784F"/>
    <w:rsid w:val="62F41404"/>
    <w:rsid w:val="62FF3FB5"/>
    <w:rsid w:val="63021DE2"/>
    <w:rsid w:val="6303037E"/>
    <w:rsid w:val="63112339"/>
    <w:rsid w:val="63261098"/>
    <w:rsid w:val="632C21E9"/>
    <w:rsid w:val="632C2662"/>
    <w:rsid w:val="633A0F04"/>
    <w:rsid w:val="6340127C"/>
    <w:rsid w:val="63402FDE"/>
    <w:rsid w:val="63502143"/>
    <w:rsid w:val="63654FE0"/>
    <w:rsid w:val="63681104"/>
    <w:rsid w:val="636E7A2E"/>
    <w:rsid w:val="636F7748"/>
    <w:rsid w:val="63A50D4E"/>
    <w:rsid w:val="63AA5332"/>
    <w:rsid w:val="63B94E8E"/>
    <w:rsid w:val="63C61233"/>
    <w:rsid w:val="63FF6AFB"/>
    <w:rsid w:val="64031E7C"/>
    <w:rsid w:val="64031F3E"/>
    <w:rsid w:val="640754EE"/>
    <w:rsid w:val="64075518"/>
    <w:rsid w:val="64142736"/>
    <w:rsid w:val="642A2A58"/>
    <w:rsid w:val="64313238"/>
    <w:rsid w:val="64391A57"/>
    <w:rsid w:val="6447072E"/>
    <w:rsid w:val="64585109"/>
    <w:rsid w:val="645F7031"/>
    <w:rsid w:val="64881679"/>
    <w:rsid w:val="6496214C"/>
    <w:rsid w:val="649F7EFD"/>
    <w:rsid w:val="64A445FB"/>
    <w:rsid w:val="64A67ACD"/>
    <w:rsid w:val="64B23DB4"/>
    <w:rsid w:val="64B55A95"/>
    <w:rsid w:val="64B64B66"/>
    <w:rsid w:val="64B86E2A"/>
    <w:rsid w:val="64C12A40"/>
    <w:rsid w:val="64C15487"/>
    <w:rsid w:val="64C51685"/>
    <w:rsid w:val="64DA579E"/>
    <w:rsid w:val="64E51E54"/>
    <w:rsid w:val="6507095D"/>
    <w:rsid w:val="65137300"/>
    <w:rsid w:val="6526740F"/>
    <w:rsid w:val="652C605C"/>
    <w:rsid w:val="652D179A"/>
    <w:rsid w:val="653A4CCE"/>
    <w:rsid w:val="6543518D"/>
    <w:rsid w:val="65525F37"/>
    <w:rsid w:val="6556674F"/>
    <w:rsid w:val="655F0FD4"/>
    <w:rsid w:val="655F2B6C"/>
    <w:rsid w:val="657E7D7E"/>
    <w:rsid w:val="65862CD9"/>
    <w:rsid w:val="6588686F"/>
    <w:rsid w:val="659E46D8"/>
    <w:rsid w:val="65A57048"/>
    <w:rsid w:val="65A73F8D"/>
    <w:rsid w:val="65B50E5A"/>
    <w:rsid w:val="65C67D97"/>
    <w:rsid w:val="65D54781"/>
    <w:rsid w:val="660867AF"/>
    <w:rsid w:val="66223545"/>
    <w:rsid w:val="66236F50"/>
    <w:rsid w:val="662D27C6"/>
    <w:rsid w:val="66452970"/>
    <w:rsid w:val="66452FE9"/>
    <w:rsid w:val="664C2357"/>
    <w:rsid w:val="668D7DF1"/>
    <w:rsid w:val="6697143C"/>
    <w:rsid w:val="669A4AE7"/>
    <w:rsid w:val="66AB7EE5"/>
    <w:rsid w:val="66BE1FC5"/>
    <w:rsid w:val="66D04B5E"/>
    <w:rsid w:val="66D60DB1"/>
    <w:rsid w:val="66E561D8"/>
    <w:rsid w:val="66F00AF0"/>
    <w:rsid w:val="6700750E"/>
    <w:rsid w:val="6706007D"/>
    <w:rsid w:val="670F560C"/>
    <w:rsid w:val="67487CFE"/>
    <w:rsid w:val="67580868"/>
    <w:rsid w:val="67610EFA"/>
    <w:rsid w:val="67613074"/>
    <w:rsid w:val="67720BE9"/>
    <w:rsid w:val="6786341B"/>
    <w:rsid w:val="678C38A9"/>
    <w:rsid w:val="678D5B85"/>
    <w:rsid w:val="67904419"/>
    <w:rsid w:val="67995A29"/>
    <w:rsid w:val="67A00193"/>
    <w:rsid w:val="67A022E2"/>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46D9B"/>
    <w:rsid w:val="684D6D87"/>
    <w:rsid w:val="684F6446"/>
    <w:rsid w:val="685036D0"/>
    <w:rsid w:val="68525B9B"/>
    <w:rsid w:val="688432AD"/>
    <w:rsid w:val="6886482A"/>
    <w:rsid w:val="688E57BC"/>
    <w:rsid w:val="68904BFB"/>
    <w:rsid w:val="689948DA"/>
    <w:rsid w:val="68A0499E"/>
    <w:rsid w:val="68A36E99"/>
    <w:rsid w:val="68AE3670"/>
    <w:rsid w:val="68B12F72"/>
    <w:rsid w:val="68C332BA"/>
    <w:rsid w:val="68C708F2"/>
    <w:rsid w:val="68CB2C9F"/>
    <w:rsid w:val="68D56251"/>
    <w:rsid w:val="68EF5946"/>
    <w:rsid w:val="68F25DFA"/>
    <w:rsid w:val="68FF6567"/>
    <w:rsid w:val="691C5AA1"/>
    <w:rsid w:val="693118AD"/>
    <w:rsid w:val="693C01EC"/>
    <w:rsid w:val="69562A4A"/>
    <w:rsid w:val="69603C4B"/>
    <w:rsid w:val="69614422"/>
    <w:rsid w:val="69683F1C"/>
    <w:rsid w:val="696C260A"/>
    <w:rsid w:val="69734633"/>
    <w:rsid w:val="6986197E"/>
    <w:rsid w:val="69930E11"/>
    <w:rsid w:val="699C0EF8"/>
    <w:rsid w:val="69A23095"/>
    <w:rsid w:val="69AB5DBB"/>
    <w:rsid w:val="69B06EFE"/>
    <w:rsid w:val="69B45BF9"/>
    <w:rsid w:val="69B840F1"/>
    <w:rsid w:val="69C91948"/>
    <w:rsid w:val="69EF5EEB"/>
    <w:rsid w:val="69F22996"/>
    <w:rsid w:val="69FD45AC"/>
    <w:rsid w:val="69FF1849"/>
    <w:rsid w:val="6A0C6539"/>
    <w:rsid w:val="6A2826A1"/>
    <w:rsid w:val="6A3431B8"/>
    <w:rsid w:val="6A551347"/>
    <w:rsid w:val="6A5660EE"/>
    <w:rsid w:val="6A5D1911"/>
    <w:rsid w:val="6A5F0530"/>
    <w:rsid w:val="6A653282"/>
    <w:rsid w:val="6A9635F7"/>
    <w:rsid w:val="6A9F3407"/>
    <w:rsid w:val="6AA45AEE"/>
    <w:rsid w:val="6AAA05A9"/>
    <w:rsid w:val="6AD5630A"/>
    <w:rsid w:val="6AE60241"/>
    <w:rsid w:val="6AE60B4C"/>
    <w:rsid w:val="6B0E0011"/>
    <w:rsid w:val="6B113D9E"/>
    <w:rsid w:val="6B28697A"/>
    <w:rsid w:val="6B3529D0"/>
    <w:rsid w:val="6B3611E8"/>
    <w:rsid w:val="6B3C6A10"/>
    <w:rsid w:val="6B3D3D48"/>
    <w:rsid w:val="6B5B3158"/>
    <w:rsid w:val="6B726A7C"/>
    <w:rsid w:val="6B7E05B9"/>
    <w:rsid w:val="6B8329CB"/>
    <w:rsid w:val="6B8833D8"/>
    <w:rsid w:val="6B8902B7"/>
    <w:rsid w:val="6BA832B8"/>
    <w:rsid w:val="6BB54A7D"/>
    <w:rsid w:val="6BBA5C26"/>
    <w:rsid w:val="6BC644EC"/>
    <w:rsid w:val="6BDB04B6"/>
    <w:rsid w:val="6BE963BE"/>
    <w:rsid w:val="6C010A69"/>
    <w:rsid w:val="6C0F365E"/>
    <w:rsid w:val="6C146C44"/>
    <w:rsid w:val="6C201C7F"/>
    <w:rsid w:val="6C2E2CA9"/>
    <w:rsid w:val="6C33536D"/>
    <w:rsid w:val="6C3E3641"/>
    <w:rsid w:val="6C3E4B74"/>
    <w:rsid w:val="6C4E0148"/>
    <w:rsid w:val="6C517C19"/>
    <w:rsid w:val="6C547454"/>
    <w:rsid w:val="6C5648D5"/>
    <w:rsid w:val="6C59110F"/>
    <w:rsid w:val="6C740601"/>
    <w:rsid w:val="6C842DAB"/>
    <w:rsid w:val="6C891DED"/>
    <w:rsid w:val="6C8A5474"/>
    <w:rsid w:val="6CD011C1"/>
    <w:rsid w:val="6CD85C69"/>
    <w:rsid w:val="6CDB73D6"/>
    <w:rsid w:val="6CED673D"/>
    <w:rsid w:val="6D073456"/>
    <w:rsid w:val="6D0C4FFA"/>
    <w:rsid w:val="6D127962"/>
    <w:rsid w:val="6D1413A4"/>
    <w:rsid w:val="6D3231DF"/>
    <w:rsid w:val="6D3B3522"/>
    <w:rsid w:val="6D464DCC"/>
    <w:rsid w:val="6D501553"/>
    <w:rsid w:val="6D616216"/>
    <w:rsid w:val="6D693545"/>
    <w:rsid w:val="6D6F64BD"/>
    <w:rsid w:val="6D8C513A"/>
    <w:rsid w:val="6D8D1511"/>
    <w:rsid w:val="6D932C97"/>
    <w:rsid w:val="6D975823"/>
    <w:rsid w:val="6DA225C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874489"/>
    <w:rsid w:val="6E960A52"/>
    <w:rsid w:val="6EA0744D"/>
    <w:rsid w:val="6EA3291D"/>
    <w:rsid w:val="6EA67504"/>
    <w:rsid w:val="6EDD75A0"/>
    <w:rsid w:val="6EE73EE7"/>
    <w:rsid w:val="6EFE5FE0"/>
    <w:rsid w:val="6F0D2298"/>
    <w:rsid w:val="6F145E1F"/>
    <w:rsid w:val="6F222BC6"/>
    <w:rsid w:val="6F276C23"/>
    <w:rsid w:val="6F37324B"/>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57D31"/>
    <w:rsid w:val="6FD969D9"/>
    <w:rsid w:val="6FDF42CC"/>
    <w:rsid w:val="700A32D4"/>
    <w:rsid w:val="70131EEE"/>
    <w:rsid w:val="70143D7F"/>
    <w:rsid w:val="701B43F3"/>
    <w:rsid w:val="70394E16"/>
    <w:rsid w:val="703B2856"/>
    <w:rsid w:val="704D1DD9"/>
    <w:rsid w:val="70512274"/>
    <w:rsid w:val="707136A0"/>
    <w:rsid w:val="7071512F"/>
    <w:rsid w:val="70727776"/>
    <w:rsid w:val="70836044"/>
    <w:rsid w:val="70945DFE"/>
    <w:rsid w:val="70963635"/>
    <w:rsid w:val="709E757C"/>
    <w:rsid w:val="70A81FF7"/>
    <w:rsid w:val="70AB6982"/>
    <w:rsid w:val="70B960E4"/>
    <w:rsid w:val="70BA3201"/>
    <w:rsid w:val="70BD0161"/>
    <w:rsid w:val="70CE2945"/>
    <w:rsid w:val="70E03E42"/>
    <w:rsid w:val="70E60700"/>
    <w:rsid w:val="710003A8"/>
    <w:rsid w:val="710330C0"/>
    <w:rsid w:val="710376A0"/>
    <w:rsid w:val="710F0BB8"/>
    <w:rsid w:val="71194261"/>
    <w:rsid w:val="711C5BB5"/>
    <w:rsid w:val="712460F7"/>
    <w:rsid w:val="7126442B"/>
    <w:rsid w:val="71375D39"/>
    <w:rsid w:val="7139673C"/>
    <w:rsid w:val="713D094E"/>
    <w:rsid w:val="7144689C"/>
    <w:rsid w:val="714872A8"/>
    <w:rsid w:val="717E22AA"/>
    <w:rsid w:val="717E5F2F"/>
    <w:rsid w:val="71885178"/>
    <w:rsid w:val="718B15C7"/>
    <w:rsid w:val="71B2274D"/>
    <w:rsid w:val="71BF4E45"/>
    <w:rsid w:val="71C20258"/>
    <w:rsid w:val="71C43B20"/>
    <w:rsid w:val="71CC7EBE"/>
    <w:rsid w:val="71D20555"/>
    <w:rsid w:val="71DA77B8"/>
    <w:rsid w:val="71E216E7"/>
    <w:rsid w:val="71EA67D9"/>
    <w:rsid w:val="71F62720"/>
    <w:rsid w:val="721F6459"/>
    <w:rsid w:val="722766A6"/>
    <w:rsid w:val="722D1EA5"/>
    <w:rsid w:val="72312C6E"/>
    <w:rsid w:val="72355C90"/>
    <w:rsid w:val="72370EF3"/>
    <w:rsid w:val="723D4E37"/>
    <w:rsid w:val="723E1C2C"/>
    <w:rsid w:val="724A0B59"/>
    <w:rsid w:val="724B3C7A"/>
    <w:rsid w:val="72522107"/>
    <w:rsid w:val="7258227F"/>
    <w:rsid w:val="726542C5"/>
    <w:rsid w:val="72713F85"/>
    <w:rsid w:val="72725AF0"/>
    <w:rsid w:val="727A0CBC"/>
    <w:rsid w:val="727E25B6"/>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4170BD4"/>
    <w:rsid w:val="741D2D43"/>
    <w:rsid w:val="743970F8"/>
    <w:rsid w:val="743D60FD"/>
    <w:rsid w:val="74430134"/>
    <w:rsid w:val="745120AE"/>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882465"/>
    <w:rsid w:val="75913AD5"/>
    <w:rsid w:val="759C1644"/>
    <w:rsid w:val="75A00840"/>
    <w:rsid w:val="75AB03F6"/>
    <w:rsid w:val="75BF0CCB"/>
    <w:rsid w:val="75C55943"/>
    <w:rsid w:val="75CA48E7"/>
    <w:rsid w:val="75E027FD"/>
    <w:rsid w:val="75E738EA"/>
    <w:rsid w:val="75E85E32"/>
    <w:rsid w:val="75F52389"/>
    <w:rsid w:val="76156475"/>
    <w:rsid w:val="761C37B5"/>
    <w:rsid w:val="76351D9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4062A"/>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474684"/>
    <w:rsid w:val="775666E2"/>
    <w:rsid w:val="77653ACC"/>
    <w:rsid w:val="77656F91"/>
    <w:rsid w:val="77747DD3"/>
    <w:rsid w:val="77A06CCB"/>
    <w:rsid w:val="77A565E6"/>
    <w:rsid w:val="77A82770"/>
    <w:rsid w:val="77A865AB"/>
    <w:rsid w:val="77B305B5"/>
    <w:rsid w:val="77BD4BE4"/>
    <w:rsid w:val="77BD7E72"/>
    <w:rsid w:val="77C9487D"/>
    <w:rsid w:val="77D64A50"/>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E1CE4"/>
    <w:rsid w:val="78B2035E"/>
    <w:rsid w:val="78B43B82"/>
    <w:rsid w:val="78B57D9C"/>
    <w:rsid w:val="78BB76EA"/>
    <w:rsid w:val="78D400AC"/>
    <w:rsid w:val="78E26C73"/>
    <w:rsid w:val="78E76B0F"/>
    <w:rsid w:val="78F65C61"/>
    <w:rsid w:val="78FA523C"/>
    <w:rsid w:val="78FB1BD1"/>
    <w:rsid w:val="79213328"/>
    <w:rsid w:val="79421AE5"/>
    <w:rsid w:val="794D3A79"/>
    <w:rsid w:val="7964511F"/>
    <w:rsid w:val="79824E81"/>
    <w:rsid w:val="79850D4D"/>
    <w:rsid w:val="79956A1C"/>
    <w:rsid w:val="799B2468"/>
    <w:rsid w:val="799E7491"/>
    <w:rsid w:val="799F3F47"/>
    <w:rsid w:val="79A72484"/>
    <w:rsid w:val="79BA471D"/>
    <w:rsid w:val="79BB5F41"/>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765EEC"/>
    <w:rsid w:val="7A773B5D"/>
    <w:rsid w:val="7A790CA9"/>
    <w:rsid w:val="7A8C0104"/>
    <w:rsid w:val="7A8C247F"/>
    <w:rsid w:val="7AB0523D"/>
    <w:rsid w:val="7AB83F1D"/>
    <w:rsid w:val="7ABA06A6"/>
    <w:rsid w:val="7AC73935"/>
    <w:rsid w:val="7ACC04C2"/>
    <w:rsid w:val="7AD234FC"/>
    <w:rsid w:val="7AD86C9B"/>
    <w:rsid w:val="7ADD6AF4"/>
    <w:rsid w:val="7AE05DA1"/>
    <w:rsid w:val="7AE2061C"/>
    <w:rsid w:val="7AF937F5"/>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7422A"/>
    <w:rsid w:val="7BA969F0"/>
    <w:rsid w:val="7BB31B68"/>
    <w:rsid w:val="7BC84FD2"/>
    <w:rsid w:val="7BCB31C0"/>
    <w:rsid w:val="7BDB19C4"/>
    <w:rsid w:val="7BDC6155"/>
    <w:rsid w:val="7C071C5F"/>
    <w:rsid w:val="7C1311BA"/>
    <w:rsid w:val="7C194469"/>
    <w:rsid w:val="7C1A6CD5"/>
    <w:rsid w:val="7C2630F4"/>
    <w:rsid w:val="7C28176B"/>
    <w:rsid w:val="7C3A066B"/>
    <w:rsid w:val="7C45471C"/>
    <w:rsid w:val="7C7354E1"/>
    <w:rsid w:val="7C773FB5"/>
    <w:rsid w:val="7C7E27D3"/>
    <w:rsid w:val="7C7F3629"/>
    <w:rsid w:val="7C8B7A6D"/>
    <w:rsid w:val="7C90110D"/>
    <w:rsid w:val="7C90620C"/>
    <w:rsid w:val="7C9B6AF6"/>
    <w:rsid w:val="7CA004DF"/>
    <w:rsid w:val="7CA34622"/>
    <w:rsid w:val="7CC90590"/>
    <w:rsid w:val="7CF11A09"/>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A0918"/>
    <w:rsid w:val="7DB838C8"/>
    <w:rsid w:val="7DC23C3E"/>
    <w:rsid w:val="7DCA5633"/>
    <w:rsid w:val="7DF31684"/>
    <w:rsid w:val="7DF46E1B"/>
    <w:rsid w:val="7DFE66C3"/>
    <w:rsid w:val="7E0464CE"/>
    <w:rsid w:val="7E1976B5"/>
    <w:rsid w:val="7E202324"/>
    <w:rsid w:val="7E2C2660"/>
    <w:rsid w:val="7E450ECB"/>
    <w:rsid w:val="7E476D34"/>
    <w:rsid w:val="7E48774E"/>
    <w:rsid w:val="7E591586"/>
    <w:rsid w:val="7E6D6DAE"/>
    <w:rsid w:val="7E6F3FB2"/>
    <w:rsid w:val="7E8A4D65"/>
    <w:rsid w:val="7E8A54C9"/>
    <w:rsid w:val="7E957586"/>
    <w:rsid w:val="7E9B11AA"/>
    <w:rsid w:val="7EA32AD0"/>
    <w:rsid w:val="7EC826AD"/>
    <w:rsid w:val="7ED55007"/>
    <w:rsid w:val="7ED953E3"/>
    <w:rsid w:val="7EDC0092"/>
    <w:rsid w:val="7EF05C7E"/>
    <w:rsid w:val="7EF765D0"/>
    <w:rsid w:val="7EF766B2"/>
    <w:rsid w:val="7EF87C96"/>
    <w:rsid w:val="7F020969"/>
    <w:rsid w:val="7F086927"/>
    <w:rsid w:val="7F215D8A"/>
    <w:rsid w:val="7F301B1E"/>
    <w:rsid w:val="7F375D0A"/>
    <w:rsid w:val="7F500CBA"/>
    <w:rsid w:val="7F587DE1"/>
    <w:rsid w:val="7F61016D"/>
    <w:rsid w:val="7F6D28E2"/>
    <w:rsid w:val="7F820D78"/>
    <w:rsid w:val="7F935AA2"/>
    <w:rsid w:val="7FA51E6D"/>
    <w:rsid w:val="7FB545B0"/>
    <w:rsid w:val="7FC53F5E"/>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szCs w:val="22"/>
      <w:lang w:val="en-US" w:eastAsia="zh-CN" w:bidi="ar-SA"/>
    </w:rPr>
  </w:style>
  <w:style w:type="paragraph" w:styleId="2">
    <w:name w:val="heading 1"/>
    <w:basedOn w:val="1"/>
    <w:next w:val="1"/>
    <w:link w:val="36"/>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7"/>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pPr>
    <w:rPr>
      <w:kern w:val="2"/>
      <w:sz w:val="21"/>
      <w:szCs w:val="20"/>
    </w:rPr>
  </w:style>
  <w:style w:type="paragraph" w:styleId="12">
    <w:name w:val="caption"/>
    <w:basedOn w:val="1"/>
    <w:next w:val="1"/>
    <w:link w:val="47"/>
    <w:qFormat/>
    <w:uiPriority w:val="0"/>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2"/>
    <w:unhideWhenUsed/>
    <w:qFormat/>
    <w:uiPriority w:val="0"/>
    <w:rPr>
      <w:szCs w:val="20"/>
    </w:rPr>
  </w:style>
  <w:style w:type="paragraph" w:styleId="15">
    <w:name w:val="Body Text"/>
    <w:basedOn w:val="1"/>
    <w:link w:val="53"/>
    <w:qFormat/>
    <w:uiPriority w:val="0"/>
    <w:pPr>
      <w:widowControl w:val="0"/>
      <w:spacing w:after="0" w:line="240" w:lineRule="auto"/>
    </w:pPr>
    <w:rPr>
      <w:color w:val="0000FF"/>
      <w:kern w:val="2"/>
      <w:sz w:val="21"/>
      <w:szCs w:val="20"/>
    </w:rPr>
  </w:style>
  <w:style w:type="paragraph" w:styleId="16">
    <w:name w:val="Date"/>
    <w:basedOn w:val="1"/>
    <w:next w:val="1"/>
    <w:link w:val="132"/>
    <w:semiHidden/>
    <w:unhideWhenUsed/>
    <w:qFormat/>
    <w:uiPriority w:val="99"/>
    <w:pPr>
      <w:ind w:left="100" w:leftChars="2500"/>
    </w:pPr>
  </w:style>
  <w:style w:type="paragraph" w:styleId="17">
    <w:name w:val="Balloon Text"/>
    <w:basedOn w:val="1"/>
    <w:link w:val="35"/>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8"/>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40"/>
    <w:semiHidden/>
    <w:qFormat/>
    <w:uiPriority w:val="0"/>
    <w:pPr>
      <w:spacing w:after="0" w:line="240" w:lineRule="auto"/>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39"/>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批注框文本 字符"/>
    <w:link w:val="17"/>
    <w:semiHidden/>
    <w:qFormat/>
    <w:uiPriority w:val="99"/>
    <w:rPr>
      <w:rFonts w:ascii="Tahoma" w:hAnsi="Tahoma" w:cs="Tahoma"/>
      <w:sz w:val="16"/>
      <w:szCs w:val="16"/>
    </w:rPr>
  </w:style>
  <w:style w:type="character" w:customStyle="1" w:styleId="36">
    <w:name w:val="标题 1 字符"/>
    <w:link w:val="2"/>
    <w:qFormat/>
    <w:uiPriority w:val="99"/>
    <w:rPr>
      <w:rFonts w:ascii="Arial" w:hAnsi="Arial" w:eastAsia="黑体"/>
      <w:b/>
      <w:bCs/>
      <w:sz w:val="30"/>
      <w:szCs w:val="30"/>
      <w:lang w:val="zh-CN"/>
    </w:rPr>
  </w:style>
  <w:style w:type="character" w:customStyle="1" w:styleId="37">
    <w:name w:val="标题 3 字符"/>
    <w:link w:val="4"/>
    <w:qFormat/>
    <w:uiPriority w:val="9"/>
    <w:rPr>
      <w:rFonts w:ascii="Arial" w:hAnsi="Arial" w:eastAsia="黑体"/>
      <w:b/>
      <w:bCs/>
      <w:sz w:val="32"/>
      <w:szCs w:val="32"/>
      <w:lang w:val="zh-CN"/>
    </w:rPr>
  </w:style>
  <w:style w:type="character" w:customStyle="1" w:styleId="38">
    <w:name w:val="页眉 字符"/>
    <w:link w:val="19"/>
    <w:qFormat/>
    <w:uiPriority w:val="0"/>
    <w:rPr>
      <w:rFonts w:ascii="Arial" w:hAnsi="Arial" w:eastAsia="MS Mincho"/>
      <w:b/>
      <w:szCs w:val="24"/>
      <w:lang w:eastAsia="en-US"/>
    </w:rPr>
  </w:style>
  <w:style w:type="character" w:customStyle="1" w:styleId="39">
    <w:name w:val="批注主题 字符"/>
    <w:link w:val="23"/>
    <w:semiHidden/>
    <w:qFormat/>
    <w:uiPriority w:val="99"/>
    <w:rPr>
      <w:b/>
      <w:bCs/>
    </w:rPr>
  </w:style>
  <w:style w:type="character" w:customStyle="1" w:styleId="40">
    <w:name w:val="脚注文本 字符"/>
    <w:link w:val="21"/>
    <w:semiHidden/>
    <w:qFormat/>
    <w:uiPriority w:val="0"/>
    <w:rPr>
      <w:rFonts w:ascii="Times" w:hAnsi="Times" w:eastAsia="Batang"/>
      <w:lang w:eastAsia="en-US"/>
    </w:rPr>
  </w:style>
  <w:style w:type="character" w:customStyle="1" w:styleId="41">
    <w:name w:val="TH Char"/>
    <w:link w:val="42"/>
    <w:qFormat/>
    <w:uiPriority w:val="0"/>
    <w:rPr>
      <w:rFonts w:ascii="Arial" w:hAnsi="Arial"/>
      <w:b/>
      <w:lang w:val="en-GB" w:eastAsia="en-US"/>
    </w:rPr>
  </w:style>
  <w:style w:type="paragraph" w:customStyle="1" w:styleId="42">
    <w:name w:val="TH"/>
    <w:basedOn w:val="1"/>
    <w:link w:val="41"/>
    <w:qFormat/>
    <w:uiPriority w:val="0"/>
    <w:pPr>
      <w:keepNext/>
      <w:keepLines/>
      <w:spacing w:before="60" w:after="180" w:line="240" w:lineRule="auto"/>
      <w:jc w:val="center"/>
    </w:pPr>
    <w:rPr>
      <w:rFonts w:ascii="Arial" w:hAnsi="Arial"/>
      <w:b/>
      <w:szCs w:val="20"/>
      <w:lang w:val="en-GB" w:eastAsia="en-US"/>
    </w:rPr>
  </w:style>
  <w:style w:type="character" w:customStyle="1" w:styleId="43">
    <w:name w:val="TAC Char"/>
    <w:link w:val="44"/>
    <w:qFormat/>
    <w:uiPriority w:val="0"/>
    <w:rPr>
      <w:rFonts w:ascii="Arial" w:hAnsi="Arial" w:eastAsia="Times New Roman"/>
      <w:sz w:val="18"/>
      <w:lang w:val="en-GB" w:eastAsia="en-GB"/>
    </w:rPr>
  </w:style>
  <w:style w:type="paragraph" w:customStyle="1" w:styleId="44">
    <w:name w:val="TAC"/>
    <w:basedOn w:val="45"/>
    <w:link w:val="43"/>
    <w:qFormat/>
    <w:uiPriority w:val="0"/>
    <w:pPr>
      <w:overflowPunct w:val="0"/>
      <w:autoSpaceDE w:val="0"/>
      <w:autoSpaceDN w:val="0"/>
      <w:adjustRightInd w:val="0"/>
      <w:jc w:val="center"/>
      <w:textAlignment w:val="baseline"/>
    </w:pPr>
    <w:rPr>
      <w:rFonts w:eastAsia="Times New Roman"/>
      <w:lang w:eastAsia="en-GB"/>
    </w:rPr>
  </w:style>
  <w:style w:type="paragraph" w:customStyle="1" w:styleId="45">
    <w:name w:val="TAL"/>
    <w:basedOn w:val="1"/>
    <w:qFormat/>
    <w:uiPriority w:val="0"/>
    <w:pPr>
      <w:keepNext/>
      <w:keepLines/>
      <w:spacing w:after="0" w:line="240" w:lineRule="auto"/>
    </w:pPr>
    <w:rPr>
      <w:rFonts w:ascii="Arial" w:hAnsi="Arial"/>
      <w:sz w:val="18"/>
      <w:szCs w:val="20"/>
      <w:lang w:val="en-GB" w:eastAsia="en-US"/>
    </w:rPr>
  </w:style>
  <w:style w:type="character" w:customStyle="1" w:styleId="46">
    <w:name w:val="apple-converted-space"/>
    <w:basedOn w:val="27"/>
    <w:qFormat/>
    <w:uiPriority w:val="0"/>
  </w:style>
  <w:style w:type="character" w:customStyle="1" w:styleId="47">
    <w:name w:val="题注 字符"/>
    <w:link w:val="12"/>
    <w:qFormat/>
    <w:uiPriority w:val="0"/>
    <w:rPr>
      <w:rFonts w:ascii="Times New Roman" w:hAnsi="Times New Roman"/>
      <w:b/>
      <w:bCs/>
      <w:lang w:val="en-GB" w:eastAsia="sv-SE"/>
    </w:rPr>
  </w:style>
  <w:style w:type="character" w:customStyle="1" w:styleId="48">
    <w:name w:val="B1 (文字)"/>
    <w:link w:val="49"/>
    <w:qFormat/>
    <w:locked/>
    <w:uiPriority w:val="99"/>
    <w:rPr>
      <w:rFonts w:ascii="Times New Roman" w:hAnsi="Times New Roman" w:eastAsia="宋体"/>
      <w:lang w:val="en-GB" w:eastAsia="en-US"/>
    </w:rPr>
  </w:style>
  <w:style w:type="paragraph" w:customStyle="1" w:styleId="49">
    <w:name w:val="B1"/>
    <w:basedOn w:val="20"/>
    <w:link w:val="48"/>
    <w:qFormat/>
    <w:uiPriority w:val="0"/>
    <w:pPr>
      <w:spacing w:after="180" w:line="240" w:lineRule="auto"/>
      <w:ind w:left="568" w:hanging="284" w:firstLineChars="0"/>
    </w:pPr>
    <w:rPr>
      <w:szCs w:val="20"/>
      <w:lang w:val="en-GB" w:eastAsia="en-US"/>
    </w:rPr>
  </w:style>
  <w:style w:type="character" w:customStyle="1" w:styleId="50">
    <w:name w:val="main text Char"/>
    <w:link w:val="51"/>
    <w:qFormat/>
    <w:uiPriority w:val="0"/>
    <w:rPr>
      <w:rFonts w:ascii="Times New Roman" w:hAnsi="Times New Roman" w:eastAsia="Malgun Gothic"/>
      <w:lang w:val="en-GB" w:eastAsia="ko-KR"/>
    </w:rPr>
  </w:style>
  <w:style w:type="paragraph" w:customStyle="1" w:styleId="51">
    <w:name w:val="main text"/>
    <w:basedOn w:val="1"/>
    <w:link w:val="50"/>
    <w:qFormat/>
    <w:uiPriority w:val="0"/>
    <w:pPr>
      <w:spacing w:before="60" w:after="60" w:line="288" w:lineRule="auto"/>
      <w:ind w:firstLine="200" w:firstLineChars="200"/>
    </w:pPr>
    <w:rPr>
      <w:rFonts w:eastAsia="Malgun Gothic"/>
      <w:szCs w:val="20"/>
      <w:lang w:val="en-GB" w:eastAsia="ko-KR"/>
    </w:rPr>
  </w:style>
  <w:style w:type="character" w:customStyle="1" w:styleId="52">
    <w:name w:val="批注文字 字符"/>
    <w:basedOn w:val="27"/>
    <w:link w:val="14"/>
    <w:qFormat/>
    <w:uiPriority w:val="0"/>
  </w:style>
  <w:style w:type="character" w:customStyle="1" w:styleId="53">
    <w:name w:val="正文文本 字符"/>
    <w:link w:val="15"/>
    <w:qFormat/>
    <w:uiPriority w:val="0"/>
    <w:rPr>
      <w:rFonts w:ascii="Times New Roman" w:hAnsi="Times New Roman"/>
      <w:color w:val="0000FF"/>
      <w:kern w:val="2"/>
      <w:sz w:val="21"/>
    </w:rPr>
  </w:style>
  <w:style w:type="character" w:customStyle="1" w:styleId="54">
    <w:name w:val="def"/>
    <w:basedOn w:val="27"/>
    <w:qFormat/>
    <w:uiPriority w:val="0"/>
  </w:style>
  <w:style w:type="character" w:customStyle="1" w:styleId="55">
    <w:name w:val="中等深浅网格 1 - 强调文字颜色 2 Char"/>
    <w:qFormat/>
    <w:locked/>
    <w:uiPriority w:val="34"/>
    <w:rPr>
      <w:rFonts w:ascii="Times New Roman" w:hAnsi="Times New Roman"/>
      <w:kern w:val="2"/>
      <w:sz w:val="21"/>
      <w:szCs w:val="24"/>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pPr>
    <w:rPr>
      <w:rFonts w:eastAsia="Malgun Gothic"/>
      <w:szCs w:val="20"/>
      <w:lang w:val="en-GB" w:eastAsia="ko-KR"/>
    </w:rPr>
  </w:style>
  <w:style w:type="character" w:customStyle="1" w:styleId="58">
    <w:name w:val="word"/>
    <w:basedOn w:val="27"/>
    <w:qFormat/>
    <w:uiPriority w:val="0"/>
  </w:style>
  <w:style w:type="character" w:customStyle="1" w:styleId="59">
    <w:name w:val="文档结构图 字符"/>
    <w:link w:val="13"/>
    <w:semiHidden/>
    <w:qFormat/>
    <w:uiPriority w:val="99"/>
    <w:rPr>
      <w:rFonts w:ascii="宋体"/>
      <w:sz w:val="18"/>
      <w:szCs w:val="18"/>
    </w:rPr>
  </w:style>
  <w:style w:type="character" w:customStyle="1" w:styleId="60">
    <w:name w:val="high-light"/>
    <w:basedOn w:val="27"/>
    <w:qFormat/>
    <w:uiPriority w:val="0"/>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4"/>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2"/>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rFonts w:eastAsia="t"/>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1"/>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7"/>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5"/>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7"/>
    <w:qFormat/>
    <w:uiPriority w:val="0"/>
  </w:style>
  <w:style w:type="paragraph" w:customStyle="1" w:styleId="123">
    <w:name w:val="text intend 1"/>
    <w:basedOn w:val="89"/>
    <w:qFormat/>
    <w:uiPriority w:val="0"/>
    <w:pPr>
      <w:widowControl/>
      <w:numPr>
        <w:ilvl w:val="0"/>
        <w:numId w:val="6"/>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tal"/>
    <w:basedOn w:val="1"/>
    <w:qFormat/>
    <w:uiPriority w:val="0"/>
    <w:pPr>
      <w:keepNext/>
      <w:spacing w:after="0" w:line="240" w:lineRule="auto"/>
    </w:pPr>
    <w:rPr>
      <w:rFonts w:ascii="Arial" w:hAnsi="Arial" w:eastAsia="Gulim" w:cs="Arial"/>
      <w:sz w:val="18"/>
      <w:szCs w:val="18"/>
      <w:lang w:eastAsia="ko-KR"/>
    </w:rPr>
  </w:style>
  <w:style w:type="paragraph" w:customStyle="1" w:styleId="127">
    <w:name w:val="x_msonormal"/>
    <w:basedOn w:val="1"/>
    <w:qFormat/>
    <w:uiPriority w:val="99"/>
    <w:rPr>
      <w:rFonts w:ascii="Calibri" w:hAnsi="Calibri" w:eastAsia="Calibri" w:cs="Calibri"/>
      <w:sz w:val="22"/>
    </w:rPr>
  </w:style>
  <w:style w:type="paragraph" w:customStyle="1" w:styleId="128">
    <w:name w:val="PatApp Body"/>
    <w:basedOn w:val="1"/>
    <w:qFormat/>
    <w:uiPriority w:val="0"/>
    <w:pPr>
      <w:numPr>
        <w:ilvl w:val="0"/>
        <w:numId w:val="7"/>
      </w:numPr>
      <w:spacing w:line="480" w:lineRule="auto"/>
    </w:pPr>
    <w:rPr>
      <w:rFonts w:eastAsia="Times New Roman"/>
      <w:snapToGrid w:val="0"/>
      <w:sz w:val="24"/>
      <w:szCs w:val="20"/>
      <w:lang w:eastAsia="en-US"/>
    </w:rPr>
  </w:style>
  <w:style w:type="character" w:customStyle="1" w:styleId="129">
    <w:name w:val="font11"/>
    <w:basedOn w:val="27"/>
    <w:qFormat/>
    <w:uiPriority w:val="0"/>
    <w:rPr>
      <w:rFonts w:hint="eastAsia" w:ascii="宋体" w:hAnsi="宋体" w:eastAsia="宋体" w:cs="宋体"/>
      <w:color w:val="000000"/>
      <w:sz w:val="24"/>
      <w:szCs w:val="24"/>
      <w:u w:val="none"/>
      <w:vertAlign w:val="subscript"/>
    </w:rPr>
  </w:style>
  <w:style w:type="paragraph" w:customStyle="1" w:styleId="130">
    <w:name w:val="列表段落1"/>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table" w:customStyle="1" w:styleId="131">
    <w:name w:val="网格型2"/>
    <w:basedOn w:val="24"/>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
    <w:name w:val="日期 字符"/>
    <w:basedOn w:val="27"/>
    <w:link w:val="16"/>
    <w:semiHidden/>
    <w:qFormat/>
    <w:uiPriority w:val="99"/>
    <w:rPr>
      <w:rFonts w:eastAsia="t"/>
      <w:szCs w:val="22"/>
    </w:rPr>
  </w:style>
  <w:style w:type="paragraph" w:customStyle="1" w:styleId="133">
    <w:name w:val="msolistparagraph"/>
    <w:basedOn w:val="1"/>
    <w:qFormat/>
    <w:uiPriority w:val="0"/>
    <w:pPr>
      <w:ind w:firstLine="420" w:firstLineChars="200"/>
    </w:pPr>
  </w:style>
  <w:style w:type="paragraph" w:customStyle="1" w:styleId="134">
    <w:name w:val="Revision2"/>
    <w:hidden/>
    <w:semiHidden/>
    <w:qFormat/>
    <w:uiPriority w:val="99"/>
    <w:rPr>
      <w:rFonts w:ascii="Times New Roman" w:hAnsi="Times New Roman" w:eastAsia="t" w:cs="Times New Roman"/>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emf"/><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Work%20docs\1%20Meetings\RAN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GPP%20RAN1\R-19\128T%20SLS\128T%20SLS%2020231128_zmq.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Work%20docs\1%20Meetings\RAN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3GPP%20RAN1\R-19\128T%20SLS\128T%20SLS%2020231128_zmq.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3GPP%20RAN1\R-19\128T%20SLS\hybrid%20beam%20forming%20SLS%20202312_zmq.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"O1=O2=1"</c:f>
              <c:strCache>
                <c:ptCount val="1"/>
                <c:pt idx="0">
                  <c:v>O1=O2=1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'[128T SLS 20240219_zmq .xlsx]Sheet1'!$C$150:$C$151</c:f>
              <c:strCache>
                <c:ptCount val="2"/>
                <c:pt idx="0">
                  <c:v>64T (average)</c:v>
                </c:pt>
                <c:pt idx="1">
                  <c:v>72T (average)</c:v>
                </c:pt>
              </c:strCache>
            </c:strRef>
          </c:cat>
          <c:val>
            <c:numRef>
              <c:f>'[128T SLS 20240219_zmq .xlsx]Sheet1'!$D$150:$D$151</c:f>
              <c:numCache>
                <c:formatCode>0.00%</c:formatCode>
                <c:ptCount val="2"/>
                <c:pt idx="0">
                  <c:v>1</c:v>
                </c:pt>
                <c:pt idx="1">
                  <c:v>1</c:v>
                </c:pt>
              </c:numCache>
            </c:numRef>
          </c:val>
        </c:ser>
        <c:ser>
          <c:idx val="1"/>
          <c:order val="1"/>
          <c:tx>
            <c:strRef>
              <c:f>"O1=O2=2"</c:f>
              <c:strCache>
                <c:ptCount val="1"/>
                <c:pt idx="0">
                  <c:v>O1=O2=2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'[128T SLS 20240219_zmq .xlsx]Sheet1'!$C$150:$C$151</c:f>
              <c:strCache>
                <c:ptCount val="2"/>
                <c:pt idx="0">
                  <c:v>64T (average)</c:v>
                </c:pt>
                <c:pt idx="1">
                  <c:v>72T (average)</c:v>
                </c:pt>
              </c:strCache>
            </c:strRef>
          </c:cat>
          <c:val>
            <c:numRef>
              <c:f>'[128T SLS 20240219_zmq .xlsx]Sheet1'!$E$150:$E$151</c:f>
              <c:numCache>
                <c:formatCode>0.00%</c:formatCode>
                <c:ptCount val="2"/>
                <c:pt idx="0">
                  <c:v>1.0944</c:v>
                </c:pt>
                <c:pt idx="1">
                  <c:v>1.0545356996173</c:v>
                </c:pt>
              </c:numCache>
            </c:numRef>
          </c:val>
        </c:ser>
        <c:ser>
          <c:idx val="2"/>
          <c:order val="2"/>
          <c:tx>
            <c:strRef>
              <c:f>"O1=O2=4"</c:f>
              <c:strCache>
                <c:ptCount val="1"/>
                <c:pt idx="0">
                  <c:v>O1=O2=4</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'[128T SLS 20240219_zmq .xlsx]Sheet1'!$C$150:$C$151</c:f>
              <c:strCache>
                <c:ptCount val="2"/>
                <c:pt idx="0">
                  <c:v>64T (average)</c:v>
                </c:pt>
                <c:pt idx="1">
                  <c:v>72T (average)</c:v>
                </c:pt>
              </c:strCache>
            </c:strRef>
          </c:cat>
          <c:val>
            <c:numRef>
              <c:f>'[128T SLS 20240219_zmq .xlsx]Sheet1'!$F$150:$F$151</c:f>
              <c:numCache>
                <c:formatCode>0.00%</c:formatCode>
                <c:ptCount val="2"/>
                <c:pt idx="0">
                  <c:v>1.1262</c:v>
                </c:pt>
                <c:pt idx="1">
                  <c:v>1.0599639238721</c:v>
                </c:pt>
              </c:numCache>
            </c:numRef>
          </c:val>
        </c:ser>
        <c:dLbls>
          <c:showLegendKey val="0"/>
          <c:showVal val="1"/>
          <c:showCatName val="0"/>
          <c:showSerName val="0"/>
          <c:showPercent val="0"/>
          <c:showBubbleSize val="0"/>
        </c:dLbls>
        <c:gapWidth val="219"/>
        <c:overlap val="-27"/>
        <c:axId val="343932085"/>
        <c:axId val="835980041"/>
      </c:barChart>
      <c:catAx>
        <c:axId val="343932085"/>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835980041"/>
        <c:crosses val="autoZero"/>
        <c:auto val="1"/>
        <c:lblAlgn val="ctr"/>
        <c:lblOffset val="100"/>
        <c:noMultiLvlLbl val="0"/>
      </c:catAx>
      <c:valAx>
        <c:axId val="835980041"/>
        <c:scaling>
          <c:orientation val="minMax"/>
          <c:max val="1.3"/>
          <c:min val="0.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343932085"/>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'[128T SLS 20231128_zmq.xlsx]Sheet3'!$E$52</c:f>
              <c:strCache>
                <c:ptCount val="1"/>
                <c:pt idx="0">
                  <c:v>32T(N1=8, N2=2)</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'[128T SLS 20231128_zmq.xlsx]Sheet3'!$F$51:$G$51</c:f>
              <c:strCache>
                <c:ptCount val="2"/>
                <c:pt idx="0">
                  <c:v>5%-ile</c:v>
                </c:pt>
                <c:pt idx="1">
                  <c:v>Average</c:v>
                </c:pt>
              </c:strCache>
            </c:strRef>
          </c:cat>
          <c:val>
            <c:numRef>
              <c:f>'[128T SLS 20231128_zmq.xlsx]Sheet3'!$F$52:$G$52</c:f>
              <c:numCache>
                <c:formatCode>0%</c:formatCode>
                <c:ptCount val="2"/>
                <c:pt idx="0">
                  <c:v>1</c:v>
                </c:pt>
                <c:pt idx="1">
                  <c:v>1</c:v>
                </c:pt>
              </c:numCache>
            </c:numRef>
          </c:val>
        </c:ser>
        <c:ser>
          <c:idx val="1"/>
          <c:order val="1"/>
          <c:tx>
            <c:strRef>
              <c:f>'[128T SLS 20231128_zmq.xlsx]Sheet3'!$E$53</c:f>
              <c:strCache>
                <c:ptCount val="1"/>
                <c:pt idx="0">
                  <c:v>64T(N1=8, N2=4)</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'[128T SLS 20231128_zmq.xlsx]Sheet3'!$F$51:$G$51</c:f>
              <c:strCache>
                <c:ptCount val="2"/>
                <c:pt idx="0">
                  <c:v>5%-ile</c:v>
                </c:pt>
                <c:pt idx="1">
                  <c:v>Average</c:v>
                </c:pt>
              </c:strCache>
            </c:strRef>
          </c:cat>
          <c:val>
            <c:numRef>
              <c:f>'[128T SLS 20231128_zmq.xlsx]Sheet3'!$F$53:$G$53</c:f>
              <c:numCache>
                <c:formatCode>0%</c:formatCode>
                <c:ptCount val="2"/>
                <c:pt idx="0">
                  <c:v>1.28571308601716</c:v>
                </c:pt>
                <c:pt idx="1">
                  <c:v>1.12632303193262</c:v>
                </c:pt>
              </c:numCache>
            </c:numRef>
          </c:val>
        </c:ser>
        <c:ser>
          <c:idx val="2"/>
          <c:order val="2"/>
          <c:tx>
            <c:strRef>
              <c:f>'[128T SLS 20231128_zmq.xlsx]Sheet3'!$E$54</c:f>
              <c:strCache>
                <c:ptCount val="1"/>
                <c:pt idx="0">
                  <c:v>128T(N1=8, N2=8)</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'[128T SLS 20231128_zmq.xlsx]Sheet3'!$F$51:$G$51</c:f>
              <c:strCache>
                <c:ptCount val="2"/>
                <c:pt idx="0">
                  <c:v>5%-ile</c:v>
                </c:pt>
                <c:pt idx="1">
                  <c:v>Average</c:v>
                </c:pt>
              </c:strCache>
            </c:strRef>
          </c:cat>
          <c:val>
            <c:numRef>
              <c:f>'[128T SLS 20231128_zmq.xlsx]Sheet3'!$F$54:$G$54</c:f>
              <c:numCache>
                <c:formatCode>0%</c:formatCode>
                <c:ptCount val="2"/>
                <c:pt idx="0">
                  <c:v>1.67959836931041</c:v>
                </c:pt>
                <c:pt idx="1">
                  <c:v>1.25342127977402</c:v>
                </c:pt>
              </c:numCache>
            </c:numRef>
          </c:val>
        </c:ser>
        <c:dLbls>
          <c:showLegendKey val="0"/>
          <c:showVal val="1"/>
          <c:showCatName val="0"/>
          <c:showSerName val="0"/>
          <c:showPercent val="0"/>
          <c:showBubbleSize val="0"/>
        </c:dLbls>
        <c:gapWidth val="219"/>
        <c:overlap val="-27"/>
        <c:axId val="188296266"/>
        <c:axId val="291111733"/>
      </c:barChart>
      <c:catAx>
        <c:axId val="18829626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91111733"/>
        <c:crosses val="autoZero"/>
        <c:auto val="1"/>
        <c:lblAlgn val="ctr"/>
        <c:lblOffset val="100"/>
        <c:noMultiLvlLbl val="0"/>
      </c:catAx>
      <c:valAx>
        <c:axId val="291111733"/>
        <c:scaling>
          <c:orientation val="minMax"/>
          <c:min val="0.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8829626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6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'[Type I_5评估20240214.xlsx]Sheet1'!$G$115</c:f>
              <c:strCache>
                <c:ptCount val="1"/>
                <c:pt idx="0">
                  <c:v>Type-I</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'[Type I_5评估20240214.xlsx]Sheet1'!$H$114:$I$114</c:f>
              <c:strCache>
                <c:ptCount val="2"/>
                <c:pt idx="0">
                  <c:v>5%-ile</c:v>
                </c:pt>
                <c:pt idx="1">
                  <c:v>Average</c:v>
                </c:pt>
              </c:strCache>
            </c:strRef>
          </c:cat>
          <c:val>
            <c:numRef>
              <c:f>'[Type I_5评估20240214.xlsx]Sheet1'!$H$115:$I$115</c:f>
              <c:numCache>
                <c:formatCode>0%</c:formatCode>
                <c:ptCount val="2"/>
                <c:pt idx="0">
                  <c:v>1</c:v>
                </c:pt>
                <c:pt idx="1">
                  <c:v>1</c:v>
                </c:pt>
              </c:numCache>
            </c:numRef>
          </c:val>
        </c:ser>
        <c:ser>
          <c:idx val="1"/>
          <c:order val="1"/>
          <c:tx>
            <c:strRef>
              <c:f>'[Type I_5评估20240214.xlsx]Sheet1'!$G$116</c:f>
              <c:strCache>
                <c:ptCount val="1"/>
                <c:pt idx="0">
                  <c:v>EnhancedType-I (linear combination codebook)</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'[Type I_5评估20240214.xlsx]Sheet1'!$H$114:$I$114</c:f>
              <c:strCache>
                <c:ptCount val="2"/>
                <c:pt idx="0">
                  <c:v>5%-ile</c:v>
                </c:pt>
                <c:pt idx="1">
                  <c:v>Average</c:v>
                </c:pt>
              </c:strCache>
            </c:strRef>
          </c:cat>
          <c:val>
            <c:numRef>
              <c:f>'[Type I_5评估20240214.xlsx]Sheet1'!$H$116:$I$116</c:f>
              <c:numCache>
                <c:formatCode>0.00%</c:formatCode>
                <c:ptCount val="2"/>
                <c:pt idx="0">
                  <c:v>1.49203466095828</c:v>
                </c:pt>
                <c:pt idx="1">
                  <c:v>1.10513332250044</c:v>
                </c:pt>
              </c:numCache>
            </c:numRef>
          </c:val>
        </c:ser>
        <c:ser>
          <c:idx val="2"/>
          <c:order val="2"/>
          <c:tx>
            <c:strRef>
              <c:f>'[Type I_5评估20240214.xlsx]Sheet1'!$G$117</c:f>
              <c:strCache>
                <c:ptCount val="1"/>
                <c:pt idx="0">
                  <c:v>eType-II</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'[Type I_5评估20240214.xlsx]Sheet1'!$H$114:$I$114</c:f>
              <c:strCache>
                <c:ptCount val="2"/>
                <c:pt idx="0">
                  <c:v>5%-ile</c:v>
                </c:pt>
                <c:pt idx="1">
                  <c:v>Average</c:v>
                </c:pt>
              </c:strCache>
            </c:strRef>
          </c:cat>
          <c:val>
            <c:numRef>
              <c:f>'[Type I_5评估20240214.xlsx]Sheet1'!$H$117:$I$117</c:f>
              <c:numCache>
                <c:formatCode>0.00%</c:formatCode>
                <c:ptCount val="2"/>
                <c:pt idx="0">
                  <c:v>1.74011648663703</c:v>
                </c:pt>
                <c:pt idx="1">
                  <c:v>1.16991315836726</c:v>
                </c:pt>
              </c:numCache>
            </c:numRef>
          </c:val>
        </c:ser>
        <c:dLbls>
          <c:showLegendKey val="0"/>
          <c:showVal val="1"/>
          <c:showCatName val="0"/>
          <c:showSerName val="0"/>
          <c:showPercent val="0"/>
          <c:showBubbleSize val="0"/>
        </c:dLbls>
        <c:gapWidth val="219"/>
        <c:overlap val="-27"/>
        <c:axId val="55270318"/>
        <c:axId val="141501600"/>
      </c:barChart>
      <c:catAx>
        <c:axId val="552703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41501600"/>
        <c:crosses val="autoZero"/>
        <c:auto val="1"/>
        <c:lblAlgn val="ctr"/>
        <c:lblOffset val="100"/>
        <c:noMultiLvlLbl val="0"/>
      </c:catAx>
      <c:valAx>
        <c:axId val="141501600"/>
        <c:scaling>
          <c:orientation val="minMax"/>
          <c:min val="0.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55270318"/>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'[128T SLS 20231128_zmq.xlsx]Sheet1'!$O$55</c:f>
              <c:strCache>
                <c:ptCount val="1"/>
                <c:pt idx="0">
                  <c:v>32T(N1=8, N2=2)</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'[128T SLS 20231128_zmq.xlsx]Sheet1'!$P$54:$Q$54</c:f>
              <c:strCache>
                <c:ptCount val="2"/>
                <c:pt idx="0">
                  <c:v>5%-ile</c:v>
                </c:pt>
                <c:pt idx="1">
                  <c:v>Average</c:v>
                </c:pt>
              </c:strCache>
            </c:strRef>
          </c:cat>
          <c:val>
            <c:numRef>
              <c:f>'[128T SLS 20231128_zmq.xlsx]Sheet1'!$P$55:$Q$55</c:f>
              <c:numCache>
                <c:formatCode>0%</c:formatCode>
                <c:ptCount val="2"/>
                <c:pt idx="0">
                  <c:v>1</c:v>
                </c:pt>
                <c:pt idx="1">
                  <c:v>1</c:v>
                </c:pt>
              </c:numCache>
            </c:numRef>
          </c:val>
        </c:ser>
        <c:ser>
          <c:idx val="1"/>
          <c:order val="1"/>
          <c:tx>
            <c:strRef>
              <c:f>'[128T SLS 20231128_zmq.xlsx]Sheet1'!$O$56</c:f>
              <c:strCache>
                <c:ptCount val="1"/>
                <c:pt idx="0">
                  <c:v>64T(N1=8, N2=4)</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'[128T SLS 20231128_zmq.xlsx]Sheet1'!$P$54:$Q$54</c:f>
              <c:strCache>
                <c:ptCount val="2"/>
                <c:pt idx="0">
                  <c:v>5%-ile</c:v>
                </c:pt>
                <c:pt idx="1">
                  <c:v>Average</c:v>
                </c:pt>
              </c:strCache>
            </c:strRef>
          </c:cat>
          <c:val>
            <c:numRef>
              <c:f>'[128T SLS 20231128_zmq.xlsx]Sheet1'!$P$56:$Q$56</c:f>
              <c:numCache>
                <c:formatCode>0.00%</c:formatCode>
                <c:ptCount val="2"/>
                <c:pt idx="0">
                  <c:v>2.00746383441357</c:v>
                </c:pt>
                <c:pt idx="1">
                  <c:v>1.2844329372906</c:v>
                </c:pt>
              </c:numCache>
            </c:numRef>
          </c:val>
        </c:ser>
        <c:ser>
          <c:idx val="2"/>
          <c:order val="2"/>
          <c:tx>
            <c:strRef>
              <c:f>'[128T SLS 20231128_zmq.xlsx]Sheet1'!$O$57</c:f>
              <c:strCache>
                <c:ptCount val="1"/>
                <c:pt idx="0">
                  <c:v>128T(N1=8, N2=8)</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'[128T SLS 20231128_zmq.xlsx]Sheet1'!$P$54:$Q$54</c:f>
              <c:strCache>
                <c:ptCount val="2"/>
                <c:pt idx="0">
                  <c:v>5%-ile</c:v>
                </c:pt>
                <c:pt idx="1">
                  <c:v>Average</c:v>
                </c:pt>
              </c:strCache>
            </c:strRef>
          </c:cat>
          <c:val>
            <c:numRef>
              <c:f>'[128T SLS 20231128_zmq.xlsx]Sheet1'!$P$57:$Q$57</c:f>
              <c:numCache>
                <c:formatCode>0.00%</c:formatCode>
                <c:ptCount val="2"/>
                <c:pt idx="0">
                  <c:v>3.45175384823112</c:v>
                </c:pt>
                <c:pt idx="1">
                  <c:v>1.67847930966238</c:v>
                </c:pt>
              </c:numCache>
            </c:numRef>
          </c:val>
        </c:ser>
        <c:dLbls>
          <c:showLegendKey val="0"/>
          <c:showVal val="1"/>
          <c:showCatName val="0"/>
          <c:showSerName val="0"/>
          <c:showPercent val="0"/>
          <c:showBubbleSize val="0"/>
        </c:dLbls>
        <c:gapWidth val="219"/>
        <c:overlap val="-27"/>
        <c:axId val="543441429"/>
        <c:axId val="850848275"/>
      </c:barChart>
      <c:catAx>
        <c:axId val="543441429"/>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850848275"/>
        <c:crosses val="autoZero"/>
        <c:auto val="1"/>
        <c:lblAlgn val="ctr"/>
        <c:lblOffset val="100"/>
        <c:noMultiLvlLbl val="0"/>
      </c:catAx>
      <c:valAx>
        <c:axId val="850848275"/>
        <c:scaling>
          <c:orientation val="minMax"/>
          <c:min val="0.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543441429"/>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'[hybrid beam forming SLS 202312_zmq.xlsx]Sheet3'!$D$44</c:f>
              <c:strCache>
                <c:ptCount val="1"/>
                <c:pt idx="0">
                  <c:v>Legacy</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'[hybrid beam forming SLS 202312_zmq.xlsx]Sheet3'!$E$43:$F$43</c:f>
              <c:strCache>
                <c:ptCount val="2"/>
                <c:pt idx="0">
                  <c:v>5%-ile</c:v>
                </c:pt>
                <c:pt idx="1">
                  <c:v>Average</c:v>
                </c:pt>
              </c:strCache>
            </c:strRef>
          </c:cat>
          <c:val>
            <c:numRef>
              <c:f>'[hybrid beam forming SLS 202312_zmq.xlsx]Sheet3'!$E$44:$F$44</c:f>
              <c:numCache>
                <c:formatCode>0%</c:formatCode>
                <c:ptCount val="2"/>
                <c:pt idx="0">
                  <c:v>1</c:v>
                </c:pt>
                <c:pt idx="1">
                  <c:v>1</c:v>
                </c:pt>
              </c:numCache>
            </c:numRef>
          </c:val>
        </c:ser>
        <c:ser>
          <c:idx val="1"/>
          <c:order val="1"/>
          <c:tx>
            <c:strRef>
              <c:f>'[hybrid beam forming SLS 202312_zmq.xlsx]Sheet3'!$D$45</c:f>
              <c:strCache>
                <c:ptCount val="1"/>
                <c:pt idx="0">
                  <c:v>Hybrid BF with 2 beams</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'[hybrid beam forming SLS 202312_zmq.xlsx]Sheet3'!$E$43:$F$43</c:f>
              <c:strCache>
                <c:ptCount val="2"/>
                <c:pt idx="0">
                  <c:v>5%-ile</c:v>
                </c:pt>
                <c:pt idx="1">
                  <c:v>Average</c:v>
                </c:pt>
              </c:strCache>
            </c:strRef>
          </c:cat>
          <c:val>
            <c:numRef>
              <c:f>'[hybrid beam forming SLS 202312_zmq.xlsx]Sheet3'!$E$45:$F$45</c:f>
              <c:numCache>
                <c:formatCode>0.00%</c:formatCode>
                <c:ptCount val="2"/>
                <c:pt idx="0">
                  <c:v>1.39659163921028</c:v>
                </c:pt>
                <c:pt idx="1">
                  <c:v>1.16167230502408</c:v>
                </c:pt>
              </c:numCache>
            </c:numRef>
          </c:val>
        </c:ser>
        <c:ser>
          <c:idx val="2"/>
          <c:order val="2"/>
          <c:tx>
            <c:strRef>
              <c:f>'[hybrid beam forming SLS 202312_zmq.xlsx]Sheet3'!$D$46</c:f>
              <c:strCache>
                <c:ptCount val="1"/>
                <c:pt idx="0">
                  <c:v>Hybrid BF with 4 beams</c:v>
                </c:pt>
              </c:strCache>
            </c:strRef>
          </c:tx>
          <c:spPr>
            <a:solidFill>
              <a:schemeClr val="accent3"/>
            </a:solidFill>
            <a:ln>
              <a:noFill/>
            </a:ln>
            <a:effectLst/>
          </c:spPr>
          <c:invertIfNegative val="0"/>
          <c:dLbls>
            <c:dLbl>
              <c:idx val="1"/>
              <c:layout>
                <c:manualLayout>
                  <c:x val="0.0252136752136752"/>
                  <c:y val="0.011394891944990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'[hybrid beam forming SLS 202312_zmq.xlsx]Sheet3'!$E$43:$F$43</c:f>
              <c:strCache>
                <c:ptCount val="2"/>
                <c:pt idx="0">
                  <c:v>5%-ile</c:v>
                </c:pt>
                <c:pt idx="1">
                  <c:v>Average</c:v>
                </c:pt>
              </c:strCache>
            </c:strRef>
          </c:cat>
          <c:val>
            <c:numRef>
              <c:f>'[hybrid beam forming SLS 202312_zmq.xlsx]Sheet3'!$E$46:$F$46</c:f>
              <c:numCache>
                <c:formatCode>0.00%</c:formatCode>
                <c:ptCount val="2"/>
                <c:pt idx="0">
                  <c:v>0.96819163098622</c:v>
                </c:pt>
                <c:pt idx="1">
                  <c:v>1.10477649662724</c:v>
                </c:pt>
              </c:numCache>
            </c:numRef>
          </c:val>
        </c:ser>
        <c:dLbls>
          <c:showLegendKey val="0"/>
          <c:showVal val="1"/>
          <c:showCatName val="0"/>
          <c:showSerName val="0"/>
          <c:showPercent val="0"/>
          <c:showBubbleSize val="0"/>
        </c:dLbls>
        <c:gapWidth val="219"/>
        <c:overlap val="-27"/>
        <c:axId val="16985069"/>
        <c:axId val="444206669"/>
      </c:barChart>
      <c:catAx>
        <c:axId val="16985069"/>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444206669"/>
        <c:crosses val="autoZero"/>
        <c:auto val="1"/>
        <c:lblAlgn val="ctr"/>
        <c:lblOffset val="100"/>
        <c:noMultiLvlLbl val="0"/>
      </c:catAx>
      <c:valAx>
        <c:axId val="444206669"/>
        <c:scaling>
          <c:orientation val="minMax"/>
          <c:min val="0.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6985069"/>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5431A-84D9-4BA3-B4C4-E6E33AF14D36}">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17</Pages>
  <Words>5796</Words>
  <Characters>33041</Characters>
  <Lines>275</Lines>
  <Paragraphs>77</Paragraphs>
  <TotalTime>0</TotalTime>
  <ScaleCrop>false</ScaleCrop>
  <LinksUpToDate>false</LinksUpToDate>
  <CharactersWithSpaces>38760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2024-02-17T11:56:00Z</dcterms:created>
  <dc:creator>ZTE</dc:creator>
  <cp:lastModifiedBy>JGY</cp:lastModifiedBy>
  <dcterms:modified xsi:type="dcterms:W3CDTF">2024-02-19T12:41:24Z</dcterms:modified>
  <dc:title>3GPP TSG-RAN WG1</dc:title>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D2CF7DB796A54B4F9801CB472998A3FB</vt:lpwstr>
  </property>
</Properties>
</file>